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2D34" w14:textId="77777777" w:rsidR="0066645C" w:rsidRDefault="005B1E99" w:rsidP="0066645C">
      <w:pPr>
        <w:pStyle w:val="Stylepardfaut"/>
      </w:pPr>
      <w:r>
        <w:t xml:space="preserve"> </w:t>
      </w:r>
      <w:bookmarkStart w:id="0" w:name="__UnoMark__1087_1907494731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1240"/>
        <w:gridCol w:w="851"/>
        <w:gridCol w:w="3507"/>
      </w:tblGrid>
      <w:tr w:rsidR="0028709D" w14:paraId="46838219" w14:textId="77777777" w:rsidTr="0028709D">
        <w:tc>
          <w:tcPr>
            <w:tcW w:w="2798" w:type="dxa"/>
          </w:tcPr>
          <w:p w14:paraId="11000706" w14:textId="6A44C6A7" w:rsidR="0028709D" w:rsidRDefault="0028709D" w:rsidP="0066645C">
            <w:pPr>
              <w:pStyle w:val="Stylepardfaut"/>
            </w:pPr>
            <w:r>
              <w:t>Groupe 3</w:t>
            </w:r>
          </w:p>
        </w:tc>
        <w:tc>
          <w:tcPr>
            <w:tcW w:w="2798" w:type="dxa"/>
          </w:tcPr>
          <w:p w14:paraId="491A1B5D" w14:textId="0969AAB8" w:rsidR="0028709D" w:rsidRDefault="0028709D" w:rsidP="0066645C">
            <w:pPr>
              <w:pStyle w:val="Stylepardfaut"/>
            </w:pPr>
            <w:r>
              <w:t>Groupe 2</w:t>
            </w:r>
          </w:p>
        </w:tc>
        <w:tc>
          <w:tcPr>
            <w:tcW w:w="2798" w:type="dxa"/>
          </w:tcPr>
          <w:p w14:paraId="0998A2BE" w14:textId="703ECB10" w:rsidR="0028709D" w:rsidRDefault="0028709D" w:rsidP="0066645C">
            <w:pPr>
              <w:pStyle w:val="Stylepardfaut"/>
            </w:pPr>
            <w:r>
              <w:t>Groupe 1</w:t>
            </w:r>
          </w:p>
        </w:tc>
        <w:tc>
          <w:tcPr>
            <w:tcW w:w="1240" w:type="dxa"/>
          </w:tcPr>
          <w:p w14:paraId="3FA81257" w14:textId="77777777" w:rsidR="0028709D" w:rsidRDefault="0028709D" w:rsidP="0066645C">
            <w:pPr>
              <w:pStyle w:val="Stylepardfaut"/>
            </w:pPr>
          </w:p>
        </w:tc>
        <w:tc>
          <w:tcPr>
            <w:tcW w:w="851" w:type="dxa"/>
          </w:tcPr>
          <w:p w14:paraId="3FC866BD" w14:textId="77777777" w:rsidR="0028709D" w:rsidRDefault="0028709D" w:rsidP="0066645C">
            <w:pPr>
              <w:pStyle w:val="Stylepardfaut"/>
            </w:pPr>
          </w:p>
        </w:tc>
        <w:tc>
          <w:tcPr>
            <w:tcW w:w="3507" w:type="dxa"/>
          </w:tcPr>
          <w:p w14:paraId="2DD459BD" w14:textId="2AB6BEF4" w:rsidR="0028709D" w:rsidRDefault="0028709D" w:rsidP="0066645C">
            <w:pPr>
              <w:pStyle w:val="Stylepardfaut"/>
            </w:pPr>
          </w:p>
        </w:tc>
      </w:tr>
      <w:tr w:rsidR="0028709D" w14:paraId="0808AEFC" w14:textId="77777777" w:rsidTr="0028709D">
        <w:tc>
          <w:tcPr>
            <w:tcW w:w="2798" w:type="dxa"/>
          </w:tcPr>
          <w:p w14:paraId="3E22DC23" w14:textId="57861D87" w:rsidR="0028709D" w:rsidRDefault="0028709D" w:rsidP="0066645C">
            <w:pPr>
              <w:pStyle w:val="Stylepardfaut"/>
            </w:pPr>
            <w:r>
              <w:t>Mardi 10h50-12h50</w:t>
            </w:r>
          </w:p>
        </w:tc>
        <w:tc>
          <w:tcPr>
            <w:tcW w:w="2798" w:type="dxa"/>
          </w:tcPr>
          <w:p w14:paraId="5A64097F" w14:textId="1BBA5CC8" w:rsidR="0028709D" w:rsidRDefault="0028709D" w:rsidP="0066645C">
            <w:pPr>
              <w:pStyle w:val="Stylepardfaut"/>
            </w:pPr>
            <w:r>
              <w:t>Mardi 14h10-16h10</w:t>
            </w:r>
          </w:p>
        </w:tc>
        <w:tc>
          <w:tcPr>
            <w:tcW w:w="2798" w:type="dxa"/>
          </w:tcPr>
          <w:p w14:paraId="4ACD44B9" w14:textId="7765C908" w:rsidR="0028709D" w:rsidRDefault="0028709D" w:rsidP="0066645C">
            <w:pPr>
              <w:pStyle w:val="Stylepardfaut"/>
            </w:pPr>
            <w:r>
              <w:t>Mercredi 10h50-12h50</w:t>
            </w:r>
          </w:p>
        </w:tc>
        <w:tc>
          <w:tcPr>
            <w:tcW w:w="1240" w:type="dxa"/>
          </w:tcPr>
          <w:p w14:paraId="3FD24326" w14:textId="77777777" w:rsidR="0028709D" w:rsidRDefault="0028709D" w:rsidP="0066645C">
            <w:pPr>
              <w:pStyle w:val="Stylepardfaut"/>
            </w:pPr>
          </w:p>
        </w:tc>
        <w:tc>
          <w:tcPr>
            <w:tcW w:w="851" w:type="dxa"/>
          </w:tcPr>
          <w:p w14:paraId="0B6E8A27" w14:textId="77777777" w:rsidR="0028709D" w:rsidRDefault="0028709D" w:rsidP="0066645C">
            <w:pPr>
              <w:pStyle w:val="Stylepardfaut"/>
            </w:pPr>
          </w:p>
        </w:tc>
        <w:tc>
          <w:tcPr>
            <w:tcW w:w="3507" w:type="dxa"/>
          </w:tcPr>
          <w:p w14:paraId="0066EFC3" w14:textId="28D4EC00" w:rsidR="0028709D" w:rsidRDefault="0028709D" w:rsidP="0066645C">
            <w:pPr>
              <w:pStyle w:val="Stylepardfaut"/>
            </w:pPr>
          </w:p>
        </w:tc>
      </w:tr>
      <w:tr w:rsidR="0028709D" w14:paraId="2A1F54DA" w14:textId="77777777" w:rsidTr="0028709D">
        <w:tc>
          <w:tcPr>
            <w:tcW w:w="2798" w:type="dxa"/>
          </w:tcPr>
          <w:p w14:paraId="6B070EAF" w14:textId="6A280FFD" w:rsidR="0028709D" w:rsidRPr="0066645C" w:rsidRDefault="0028709D" w:rsidP="0066645C">
            <w:pPr>
              <w:pStyle w:val="Stylepardfaut"/>
              <w:rPr>
                <w:b/>
                <w:bCs/>
              </w:rPr>
            </w:pPr>
            <w:r w:rsidRPr="0066645C">
              <w:rPr>
                <w:b/>
                <w:bCs/>
              </w:rPr>
              <w:t>GS118</w:t>
            </w:r>
          </w:p>
        </w:tc>
        <w:tc>
          <w:tcPr>
            <w:tcW w:w="2798" w:type="dxa"/>
          </w:tcPr>
          <w:p w14:paraId="08CB48A9" w14:textId="3DCC1B09" w:rsidR="0028709D" w:rsidRPr="0066645C" w:rsidRDefault="0028709D" w:rsidP="0066645C">
            <w:pPr>
              <w:pStyle w:val="Stylepardfaut"/>
              <w:rPr>
                <w:b/>
                <w:bCs/>
              </w:rPr>
            </w:pPr>
            <w:r w:rsidRPr="0066645C">
              <w:rPr>
                <w:b/>
                <w:bCs/>
              </w:rPr>
              <w:t>GA</w:t>
            </w:r>
            <w:r w:rsidR="00013066" w:rsidRPr="00013066">
              <w:rPr>
                <w:b/>
                <w:bCs/>
                <w:highlight w:val="cyan"/>
              </w:rPr>
              <w:t>125</w:t>
            </w:r>
          </w:p>
        </w:tc>
        <w:tc>
          <w:tcPr>
            <w:tcW w:w="2798" w:type="dxa"/>
          </w:tcPr>
          <w:p w14:paraId="79AF433F" w14:textId="3A94C676" w:rsidR="0028709D" w:rsidRPr="0066645C" w:rsidRDefault="0028709D" w:rsidP="0066645C">
            <w:pPr>
              <w:pStyle w:val="Stylepardfaut"/>
              <w:rPr>
                <w:b/>
                <w:bCs/>
              </w:rPr>
            </w:pPr>
            <w:r w:rsidRPr="0066645C">
              <w:rPr>
                <w:b/>
                <w:bCs/>
              </w:rPr>
              <w:t>M110</w:t>
            </w:r>
          </w:p>
        </w:tc>
        <w:tc>
          <w:tcPr>
            <w:tcW w:w="1240" w:type="dxa"/>
          </w:tcPr>
          <w:p w14:paraId="53B3CF82" w14:textId="77777777" w:rsidR="0028709D" w:rsidRDefault="0028709D" w:rsidP="0066645C">
            <w:pPr>
              <w:pStyle w:val="Stylepardfaut"/>
            </w:pPr>
          </w:p>
        </w:tc>
        <w:tc>
          <w:tcPr>
            <w:tcW w:w="851" w:type="dxa"/>
          </w:tcPr>
          <w:p w14:paraId="6E28A87E" w14:textId="77777777" w:rsidR="0028709D" w:rsidRDefault="0028709D" w:rsidP="0066645C">
            <w:pPr>
              <w:pStyle w:val="Stylepardfaut"/>
            </w:pPr>
          </w:p>
        </w:tc>
        <w:tc>
          <w:tcPr>
            <w:tcW w:w="3507" w:type="dxa"/>
          </w:tcPr>
          <w:p w14:paraId="342C7F60" w14:textId="52F3CDBD" w:rsidR="0028709D" w:rsidRDefault="0028709D" w:rsidP="0066645C">
            <w:pPr>
              <w:pStyle w:val="Stylepardfaut"/>
            </w:pPr>
          </w:p>
        </w:tc>
      </w:tr>
      <w:tr w:rsidR="004741F9" w14:paraId="2F365046" w14:textId="77777777" w:rsidTr="0028709D">
        <w:tc>
          <w:tcPr>
            <w:tcW w:w="2798" w:type="dxa"/>
          </w:tcPr>
          <w:p w14:paraId="47F7D04F" w14:textId="0943A237" w:rsidR="004741F9" w:rsidRPr="0066645C" w:rsidRDefault="004741F9" w:rsidP="004741F9">
            <w:pPr>
              <w:pStyle w:val="Stylepardfaut"/>
            </w:pPr>
            <w:r w:rsidRPr="0066645C">
              <w:t>26 septembre</w:t>
            </w:r>
          </w:p>
        </w:tc>
        <w:tc>
          <w:tcPr>
            <w:tcW w:w="2798" w:type="dxa"/>
          </w:tcPr>
          <w:p w14:paraId="08FF3B72" w14:textId="4E19EA5D" w:rsidR="004741F9" w:rsidRPr="0066645C" w:rsidRDefault="004741F9" w:rsidP="004741F9">
            <w:pPr>
              <w:pStyle w:val="Stylepardfaut"/>
            </w:pPr>
            <w:r w:rsidRPr="0066645C">
              <w:t xml:space="preserve">26 sept </w:t>
            </w:r>
          </w:p>
        </w:tc>
        <w:tc>
          <w:tcPr>
            <w:tcW w:w="2798" w:type="dxa"/>
          </w:tcPr>
          <w:p w14:paraId="42984899" w14:textId="3667B0FF" w:rsidR="004741F9" w:rsidRPr="0066645C" w:rsidRDefault="004741F9" w:rsidP="004741F9">
            <w:pPr>
              <w:pStyle w:val="Stylepardfaut"/>
            </w:pPr>
            <w:r w:rsidRPr="0066645C">
              <w:t>27 sept</w:t>
            </w:r>
          </w:p>
        </w:tc>
        <w:tc>
          <w:tcPr>
            <w:tcW w:w="1240" w:type="dxa"/>
          </w:tcPr>
          <w:p w14:paraId="6725FAA9" w14:textId="22A8CF84" w:rsidR="004741F9" w:rsidRDefault="004741F9" w:rsidP="004741F9">
            <w:pPr>
              <w:pStyle w:val="Stylepardfaut"/>
            </w:pPr>
            <w:r>
              <w:t>Séance 1</w:t>
            </w:r>
          </w:p>
        </w:tc>
        <w:tc>
          <w:tcPr>
            <w:tcW w:w="851" w:type="dxa"/>
          </w:tcPr>
          <w:p w14:paraId="47243436" w14:textId="35C24E8E" w:rsidR="004741F9" w:rsidRPr="0028709D" w:rsidRDefault="004741F9" w:rsidP="004741F9">
            <w:pPr>
              <w:pStyle w:val="Stylepardfaut"/>
              <w:rPr>
                <w:sz w:val="22"/>
                <w:szCs w:val="22"/>
              </w:rPr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370E0082" w14:textId="41150960" w:rsidR="004741F9" w:rsidRDefault="004741F9" w:rsidP="004741F9">
            <w:pPr>
              <w:pStyle w:val="Stylepardfaut"/>
            </w:pPr>
            <w:r>
              <w:t>Introduction au cours- Début de lecture de la première nouvelle.</w:t>
            </w:r>
          </w:p>
        </w:tc>
      </w:tr>
      <w:tr w:rsidR="004741F9" w14:paraId="7AD31688" w14:textId="77777777" w:rsidTr="0028709D">
        <w:tc>
          <w:tcPr>
            <w:tcW w:w="2798" w:type="dxa"/>
          </w:tcPr>
          <w:p w14:paraId="65E41D05" w14:textId="377ACEDD" w:rsidR="004741F9" w:rsidRPr="0066645C" w:rsidRDefault="004741F9" w:rsidP="004741F9">
            <w:pPr>
              <w:pStyle w:val="Stylepardfaut"/>
            </w:pPr>
            <w:r w:rsidRPr="0066645C">
              <w:t>3 octobre</w:t>
            </w:r>
          </w:p>
        </w:tc>
        <w:tc>
          <w:tcPr>
            <w:tcW w:w="2798" w:type="dxa"/>
          </w:tcPr>
          <w:p w14:paraId="7B3A2BB9" w14:textId="0B7447EB" w:rsidR="004741F9" w:rsidRPr="0066645C" w:rsidRDefault="004741F9" w:rsidP="004741F9">
            <w:pPr>
              <w:pStyle w:val="Stylepardfaut"/>
            </w:pPr>
            <w:r w:rsidRPr="0066645C">
              <w:t>3 octobre</w:t>
            </w:r>
          </w:p>
        </w:tc>
        <w:tc>
          <w:tcPr>
            <w:tcW w:w="2798" w:type="dxa"/>
          </w:tcPr>
          <w:p w14:paraId="01AC4010" w14:textId="37A535B9" w:rsidR="004741F9" w:rsidRPr="0066645C" w:rsidRDefault="004741F9" w:rsidP="004741F9">
            <w:pPr>
              <w:pStyle w:val="Stylepardfaut"/>
            </w:pPr>
            <w:r w:rsidRPr="0066645C">
              <w:t>4 octobre</w:t>
            </w:r>
          </w:p>
        </w:tc>
        <w:tc>
          <w:tcPr>
            <w:tcW w:w="1240" w:type="dxa"/>
          </w:tcPr>
          <w:p w14:paraId="48224FFF" w14:textId="26017DA1" w:rsidR="004741F9" w:rsidRDefault="004741F9" w:rsidP="004741F9">
            <w:pPr>
              <w:pStyle w:val="Stylepardfaut"/>
            </w:pPr>
            <w:r>
              <w:t>Séance 2</w:t>
            </w:r>
          </w:p>
        </w:tc>
        <w:tc>
          <w:tcPr>
            <w:tcW w:w="851" w:type="dxa"/>
          </w:tcPr>
          <w:p w14:paraId="49DE1BAA" w14:textId="26B7F1FE" w:rsidR="004741F9" w:rsidRDefault="004741F9" w:rsidP="004741F9">
            <w:pPr>
              <w:pStyle w:val="Stylepardfaut"/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6763CD97" w14:textId="34C072CE" w:rsidR="004741F9" w:rsidRDefault="004741F9" w:rsidP="004741F9">
            <w:pPr>
              <w:pStyle w:val="Stylepardfaut"/>
            </w:pPr>
            <w:r>
              <w:t xml:space="preserve">Première nouvelle : </w:t>
            </w:r>
            <w:r w:rsidR="00C5653A">
              <w:t xml:space="preserve">« 166 rue de C », </w:t>
            </w:r>
            <w:proofErr w:type="spellStart"/>
            <w:r w:rsidR="00C5653A">
              <w:t>Léonora</w:t>
            </w:r>
            <w:proofErr w:type="spellEnd"/>
            <w:r w:rsidR="00C5653A">
              <w:t xml:space="preserve"> </w:t>
            </w:r>
            <w:proofErr w:type="spellStart"/>
            <w:r w:rsidR="00C5653A">
              <w:t>Miano</w:t>
            </w:r>
            <w:proofErr w:type="spellEnd"/>
            <w:r w:rsidR="00C5653A">
              <w:t xml:space="preserve">. </w:t>
            </w:r>
          </w:p>
        </w:tc>
      </w:tr>
      <w:tr w:rsidR="004741F9" w14:paraId="6AA11F3B" w14:textId="77777777" w:rsidTr="0028709D">
        <w:tc>
          <w:tcPr>
            <w:tcW w:w="2798" w:type="dxa"/>
          </w:tcPr>
          <w:p w14:paraId="1B3953D3" w14:textId="6FB12924" w:rsidR="004741F9" w:rsidRPr="0066645C" w:rsidRDefault="004741F9" w:rsidP="004741F9">
            <w:pPr>
              <w:pStyle w:val="Stylepardfaut"/>
            </w:pPr>
            <w:r w:rsidRPr="0066645C">
              <w:t>10 octobre</w:t>
            </w:r>
          </w:p>
        </w:tc>
        <w:tc>
          <w:tcPr>
            <w:tcW w:w="2798" w:type="dxa"/>
          </w:tcPr>
          <w:p w14:paraId="01517529" w14:textId="0243B8E0" w:rsidR="004741F9" w:rsidRPr="0066645C" w:rsidRDefault="004741F9" w:rsidP="004741F9">
            <w:pPr>
              <w:pStyle w:val="Stylepardfaut"/>
            </w:pPr>
            <w:r w:rsidRPr="0066645C">
              <w:t>10 octobre</w:t>
            </w:r>
          </w:p>
        </w:tc>
        <w:tc>
          <w:tcPr>
            <w:tcW w:w="2798" w:type="dxa"/>
          </w:tcPr>
          <w:p w14:paraId="2D085F84" w14:textId="7E55BE0E" w:rsidR="004741F9" w:rsidRPr="0066645C" w:rsidRDefault="004741F9" w:rsidP="004741F9">
            <w:pPr>
              <w:pStyle w:val="Stylepardfaut"/>
            </w:pPr>
            <w:r w:rsidRPr="0066645C">
              <w:t>11 octobre</w:t>
            </w:r>
          </w:p>
        </w:tc>
        <w:tc>
          <w:tcPr>
            <w:tcW w:w="1240" w:type="dxa"/>
          </w:tcPr>
          <w:p w14:paraId="35451895" w14:textId="273CEA5A" w:rsidR="004741F9" w:rsidRDefault="004741F9" w:rsidP="004741F9">
            <w:pPr>
              <w:pStyle w:val="Stylepardfaut"/>
            </w:pPr>
            <w:r>
              <w:t>Séance 3</w:t>
            </w:r>
          </w:p>
        </w:tc>
        <w:tc>
          <w:tcPr>
            <w:tcW w:w="851" w:type="dxa"/>
          </w:tcPr>
          <w:p w14:paraId="2A1BE914" w14:textId="79CB6FD7" w:rsidR="004741F9" w:rsidRDefault="004741F9" w:rsidP="004741F9">
            <w:pPr>
              <w:pStyle w:val="Stylepardfaut"/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36CCD200" w14:textId="56012658" w:rsidR="004741F9" w:rsidRDefault="004741F9" w:rsidP="004741F9">
            <w:pPr>
              <w:pStyle w:val="Stylepardfaut"/>
            </w:pPr>
            <w:r>
              <w:t xml:space="preserve">Nouvelle 2 : </w:t>
            </w:r>
            <w:r w:rsidR="00C5653A">
              <w:t>« Français, Françaises », Monique Proulx</w:t>
            </w:r>
          </w:p>
        </w:tc>
      </w:tr>
      <w:tr w:rsidR="00C5188B" w14:paraId="457B4847" w14:textId="77777777" w:rsidTr="0028709D">
        <w:tc>
          <w:tcPr>
            <w:tcW w:w="2798" w:type="dxa"/>
          </w:tcPr>
          <w:p w14:paraId="3FB1ED4A" w14:textId="3CB8B629" w:rsidR="00C5188B" w:rsidRPr="0066645C" w:rsidRDefault="00C5188B" w:rsidP="00C5188B">
            <w:pPr>
              <w:pStyle w:val="Stylepardfaut"/>
            </w:pPr>
            <w:r w:rsidRPr="0066645C">
              <w:t>1</w:t>
            </w:r>
            <w:r>
              <w:t>7</w:t>
            </w:r>
            <w:r w:rsidRPr="0066645C">
              <w:t xml:space="preserve"> octobre</w:t>
            </w:r>
          </w:p>
        </w:tc>
        <w:tc>
          <w:tcPr>
            <w:tcW w:w="2798" w:type="dxa"/>
          </w:tcPr>
          <w:p w14:paraId="27E90C45" w14:textId="589E953F" w:rsidR="00C5188B" w:rsidRPr="0066645C" w:rsidRDefault="00C5188B" w:rsidP="00C5188B">
            <w:pPr>
              <w:pStyle w:val="Stylepardfaut"/>
            </w:pPr>
            <w:r w:rsidRPr="0066645C">
              <w:t>1</w:t>
            </w:r>
            <w:r>
              <w:t>7</w:t>
            </w:r>
            <w:r w:rsidRPr="0066645C">
              <w:t xml:space="preserve"> octobre</w:t>
            </w:r>
          </w:p>
        </w:tc>
        <w:tc>
          <w:tcPr>
            <w:tcW w:w="2798" w:type="dxa"/>
          </w:tcPr>
          <w:p w14:paraId="32888B7C" w14:textId="4F27C450" w:rsidR="00C5188B" w:rsidRPr="0066645C" w:rsidRDefault="00C5188B" w:rsidP="00C5188B">
            <w:pPr>
              <w:pStyle w:val="Stylepardfaut"/>
            </w:pPr>
            <w:r>
              <w:t>19 octobre</w:t>
            </w:r>
          </w:p>
        </w:tc>
        <w:tc>
          <w:tcPr>
            <w:tcW w:w="1240" w:type="dxa"/>
          </w:tcPr>
          <w:p w14:paraId="3B5BD469" w14:textId="12596282" w:rsidR="00C5188B" w:rsidRDefault="00C5188B" w:rsidP="00C5188B">
            <w:pPr>
              <w:pStyle w:val="Stylepardfaut"/>
            </w:pPr>
            <w:r>
              <w:t>Séance 4</w:t>
            </w:r>
          </w:p>
        </w:tc>
        <w:tc>
          <w:tcPr>
            <w:tcW w:w="851" w:type="dxa"/>
          </w:tcPr>
          <w:p w14:paraId="5B90D5CC" w14:textId="0C8E91C1" w:rsidR="00C5188B" w:rsidRDefault="00C5188B" w:rsidP="00C5188B">
            <w:pPr>
              <w:pStyle w:val="Stylepardfaut"/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4CF09B1B" w14:textId="6A044513" w:rsidR="00C5188B" w:rsidRDefault="00C5188B" w:rsidP="00C5188B">
            <w:pPr>
              <w:pStyle w:val="Stylepardfaut"/>
            </w:pPr>
            <w:r>
              <w:t>Nouvelle 2 : « Français, Françaises », Monique Proulx</w:t>
            </w:r>
          </w:p>
        </w:tc>
      </w:tr>
      <w:tr w:rsidR="00C5188B" w14:paraId="004EB901" w14:textId="77777777" w:rsidTr="0028709D">
        <w:tc>
          <w:tcPr>
            <w:tcW w:w="2798" w:type="dxa"/>
          </w:tcPr>
          <w:p w14:paraId="55BD3C71" w14:textId="17873137" w:rsidR="00C5188B" w:rsidRPr="0066645C" w:rsidRDefault="00C5188B" w:rsidP="00C5188B">
            <w:pPr>
              <w:pStyle w:val="Stylepardfaut"/>
            </w:pPr>
            <w:r>
              <w:t xml:space="preserve">24 octobre </w:t>
            </w:r>
          </w:p>
        </w:tc>
        <w:tc>
          <w:tcPr>
            <w:tcW w:w="2798" w:type="dxa"/>
          </w:tcPr>
          <w:p w14:paraId="57C48E38" w14:textId="3877BE9B" w:rsidR="00C5188B" w:rsidRPr="0066645C" w:rsidRDefault="00C5188B" w:rsidP="00C5188B">
            <w:pPr>
              <w:pStyle w:val="Stylepardfaut"/>
            </w:pPr>
            <w:r>
              <w:t xml:space="preserve">24 octobre </w:t>
            </w:r>
          </w:p>
        </w:tc>
        <w:tc>
          <w:tcPr>
            <w:tcW w:w="2798" w:type="dxa"/>
          </w:tcPr>
          <w:p w14:paraId="2A90EC03" w14:textId="524D4B85" w:rsidR="00C5188B" w:rsidRDefault="00C5188B" w:rsidP="00C5188B">
            <w:pPr>
              <w:pStyle w:val="Stylepardfaut"/>
            </w:pPr>
            <w:r>
              <w:t xml:space="preserve">25 octobre </w:t>
            </w:r>
          </w:p>
        </w:tc>
        <w:tc>
          <w:tcPr>
            <w:tcW w:w="1240" w:type="dxa"/>
          </w:tcPr>
          <w:p w14:paraId="14BAF7A0" w14:textId="3E268CCD" w:rsidR="00C5188B" w:rsidRDefault="00C5188B" w:rsidP="00C5188B">
            <w:pPr>
              <w:pStyle w:val="Stylepardfaut"/>
            </w:pPr>
            <w:r>
              <w:t>Séance 5</w:t>
            </w:r>
          </w:p>
        </w:tc>
        <w:tc>
          <w:tcPr>
            <w:tcW w:w="851" w:type="dxa"/>
          </w:tcPr>
          <w:p w14:paraId="5E2F3A3F" w14:textId="547A5C53" w:rsidR="00C5188B" w:rsidRDefault="00C5188B" w:rsidP="00C5188B">
            <w:pPr>
              <w:pStyle w:val="Stylepardfaut"/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63BA6201" w14:textId="2DA580DA" w:rsidR="00C5188B" w:rsidRDefault="00C5188B" w:rsidP="00C5188B">
            <w:pPr>
              <w:pStyle w:val="Stylepardfaut"/>
            </w:pPr>
            <w:r w:rsidRPr="00EF5A76">
              <w:rPr>
                <w:highlight w:val="yellow"/>
              </w:rPr>
              <w:sym w:font="Wingdings" w:char="F0E0"/>
            </w:r>
            <w:r w:rsidRPr="00EF5A76">
              <w:rPr>
                <w:highlight w:val="yellow"/>
              </w:rPr>
              <w:t xml:space="preserve"> </w:t>
            </w:r>
            <w:proofErr w:type="gramStart"/>
            <w:r w:rsidRPr="00EF5A76">
              <w:rPr>
                <w:highlight w:val="yellow"/>
              </w:rPr>
              <w:t>conférences</w:t>
            </w:r>
            <w:proofErr w:type="gramEnd"/>
            <w:r w:rsidRPr="00EF5A76">
              <w:rPr>
                <w:highlight w:val="yellow"/>
              </w:rPr>
              <w:t xml:space="preserve"> colloque*</w:t>
            </w:r>
          </w:p>
        </w:tc>
      </w:tr>
      <w:tr w:rsidR="00C5188B" w14:paraId="487B66EB" w14:textId="77777777" w:rsidTr="0028709D">
        <w:tc>
          <w:tcPr>
            <w:tcW w:w="2798" w:type="dxa"/>
            <w:shd w:val="clear" w:color="auto" w:fill="C6D9F1" w:themeFill="text2" w:themeFillTint="33"/>
          </w:tcPr>
          <w:p w14:paraId="1A09E65F" w14:textId="24BE7288" w:rsidR="00C5188B" w:rsidRDefault="00C5188B" w:rsidP="00C5188B">
            <w:pPr>
              <w:pStyle w:val="Stylepardfaut"/>
            </w:pPr>
            <w:r>
              <w:t xml:space="preserve">Vacances </w:t>
            </w:r>
          </w:p>
        </w:tc>
        <w:tc>
          <w:tcPr>
            <w:tcW w:w="2798" w:type="dxa"/>
            <w:shd w:val="clear" w:color="auto" w:fill="C6D9F1" w:themeFill="text2" w:themeFillTint="33"/>
          </w:tcPr>
          <w:p w14:paraId="08D77BE5" w14:textId="77777777" w:rsidR="00C5188B" w:rsidRDefault="00C5188B" w:rsidP="00C5188B">
            <w:pPr>
              <w:pStyle w:val="Stylepardfaut"/>
            </w:pPr>
          </w:p>
        </w:tc>
        <w:tc>
          <w:tcPr>
            <w:tcW w:w="2798" w:type="dxa"/>
            <w:shd w:val="clear" w:color="auto" w:fill="C6D9F1" w:themeFill="text2" w:themeFillTint="33"/>
          </w:tcPr>
          <w:p w14:paraId="4DB8A834" w14:textId="77777777" w:rsidR="00C5188B" w:rsidRDefault="00C5188B" w:rsidP="00C5188B">
            <w:pPr>
              <w:pStyle w:val="Stylepardfaut"/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4019AC95" w14:textId="77777777" w:rsidR="00C5188B" w:rsidRDefault="00C5188B" w:rsidP="00C5188B">
            <w:pPr>
              <w:pStyle w:val="Stylepardfaut"/>
            </w:pPr>
          </w:p>
        </w:tc>
        <w:tc>
          <w:tcPr>
            <w:tcW w:w="851" w:type="dxa"/>
          </w:tcPr>
          <w:p w14:paraId="5237B65B" w14:textId="77777777" w:rsidR="00C5188B" w:rsidRDefault="00C5188B" w:rsidP="00C5188B">
            <w:pPr>
              <w:pStyle w:val="Stylepardfaut"/>
            </w:pPr>
          </w:p>
        </w:tc>
        <w:tc>
          <w:tcPr>
            <w:tcW w:w="3507" w:type="dxa"/>
          </w:tcPr>
          <w:p w14:paraId="33FE93DD" w14:textId="68099220" w:rsidR="00C5188B" w:rsidRDefault="00C5188B" w:rsidP="00C5188B">
            <w:pPr>
              <w:pStyle w:val="Stylepardfaut"/>
            </w:pPr>
          </w:p>
        </w:tc>
      </w:tr>
      <w:tr w:rsidR="00C5188B" w14:paraId="584FD218" w14:textId="77777777" w:rsidTr="0028709D">
        <w:tc>
          <w:tcPr>
            <w:tcW w:w="2798" w:type="dxa"/>
            <w:shd w:val="clear" w:color="auto" w:fill="auto"/>
          </w:tcPr>
          <w:p w14:paraId="5DC2B1D4" w14:textId="52226DC7" w:rsidR="00C5188B" w:rsidRDefault="00C5188B" w:rsidP="00C5188B">
            <w:pPr>
              <w:pStyle w:val="Stylepardfaut"/>
            </w:pPr>
            <w:r>
              <w:t>7 novembre</w:t>
            </w:r>
          </w:p>
        </w:tc>
        <w:tc>
          <w:tcPr>
            <w:tcW w:w="2798" w:type="dxa"/>
            <w:shd w:val="clear" w:color="auto" w:fill="auto"/>
          </w:tcPr>
          <w:p w14:paraId="112D0389" w14:textId="2269DC7D" w:rsidR="00C5188B" w:rsidRDefault="00C5188B" w:rsidP="00C5188B">
            <w:pPr>
              <w:pStyle w:val="Stylepardfaut"/>
            </w:pPr>
            <w:r>
              <w:t xml:space="preserve">7 novembre </w:t>
            </w:r>
          </w:p>
        </w:tc>
        <w:tc>
          <w:tcPr>
            <w:tcW w:w="2798" w:type="dxa"/>
            <w:shd w:val="clear" w:color="auto" w:fill="auto"/>
          </w:tcPr>
          <w:p w14:paraId="06ED595E" w14:textId="433F7139" w:rsidR="00C5188B" w:rsidRDefault="00C5188B" w:rsidP="00C5188B">
            <w:pPr>
              <w:pStyle w:val="Stylepardfaut"/>
            </w:pPr>
            <w:r>
              <w:t>8 novembre</w:t>
            </w:r>
          </w:p>
        </w:tc>
        <w:tc>
          <w:tcPr>
            <w:tcW w:w="1240" w:type="dxa"/>
            <w:shd w:val="clear" w:color="auto" w:fill="auto"/>
          </w:tcPr>
          <w:p w14:paraId="5A8A2045" w14:textId="255249B5" w:rsidR="00C5188B" w:rsidRDefault="00C5188B" w:rsidP="00C5188B">
            <w:pPr>
              <w:pStyle w:val="Stylepardfaut"/>
            </w:pPr>
            <w:r>
              <w:t>Séance 6</w:t>
            </w:r>
          </w:p>
        </w:tc>
        <w:tc>
          <w:tcPr>
            <w:tcW w:w="851" w:type="dxa"/>
          </w:tcPr>
          <w:p w14:paraId="74E09D90" w14:textId="7534B35E" w:rsidR="00C5188B" w:rsidRDefault="00C5188B" w:rsidP="00C5188B">
            <w:pPr>
              <w:pStyle w:val="Stylepardfaut"/>
            </w:pPr>
            <w:proofErr w:type="spellStart"/>
            <w:r w:rsidRPr="0028709D">
              <w:rPr>
                <w:sz w:val="22"/>
                <w:szCs w:val="22"/>
              </w:rPr>
              <w:t>Cha</w:t>
            </w:r>
            <w:proofErr w:type="spellEnd"/>
            <w:r>
              <w:rPr>
                <w:sz w:val="22"/>
                <w:szCs w:val="22"/>
              </w:rPr>
              <w:t>. D</w:t>
            </w:r>
          </w:p>
        </w:tc>
        <w:tc>
          <w:tcPr>
            <w:tcW w:w="3507" w:type="dxa"/>
          </w:tcPr>
          <w:p w14:paraId="0004EEF5" w14:textId="414CEC75" w:rsidR="00C5188B" w:rsidRDefault="00C5188B" w:rsidP="00C5188B">
            <w:pPr>
              <w:pStyle w:val="Stylepardfaut"/>
            </w:pPr>
            <w:r>
              <w:t>Exposés en binômes</w:t>
            </w:r>
          </w:p>
        </w:tc>
      </w:tr>
      <w:tr w:rsidR="00C5188B" w14:paraId="7D8D0CA6" w14:textId="77777777" w:rsidTr="0028709D">
        <w:tc>
          <w:tcPr>
            <w:tcW w:w="2798" w:type="dxa"/>
            <w:shd w:val="clear" w:color="auto" w:fill="auto"/>
          </w:tcPr>
          <w:p w14:paraId="657E9A4A" w14:textId="23216FBA" w:rsidR="00C5188B" w:rsidRDefault="00C5188B" w:rsidP="00C5188B">
            <w:pPr>
              <w:pStyle w:val="Stylepardfaut"/>
            </w:pPr>
            <w:r>
              <w:t>14 novembre</w:t>
            </w:r>
          </w:p>
        </w:tc>
        <w:tc>
          <w:tcPr>
            <w:tcW w:w="2798" w:type="dxa"/>
            <w:shd w:val="clear" w:color="auto" w:fill="auto"/>
          </w:tcPr>
          <w:p w14:paraId="44F1FC0C" w14:textId="15EAB3DA" w:rsidR="00C5188B" w:rsidRDefault="00C5188B" w:rsidP="00C5188B">
            <w:pPr>
              <w:pStyle w:val="Stylepardfaut"/>
            </w:pPr>
            <w:r>
              <w:t>14 novembre</w:t>
            </w:r>
          </w:p>
        </w:tc>
        <w:tc>
          <w:tcPr>
            <w:tcW w:w="2798" w:type="dxa"/>
            <w:shd w:val="clear" w:color="auto" w:fill="auto"/>
          </w:tcPr>
          <w:p w14:paraId="125F392B" w14:textId="3E70AFC1" w:rsidR="00C5188B" w:rsidRDefault="00C5188B" w:rsidP="00C5188B">
            <w:pPr>
              <w:pStyle w:val="Stylepardfaut"/>
            </w:pPr>
            <w:r>
              <w:t>15 novembre</w:t>
            </w:r>
          </w:p>
        </w:tc>
        <w:tc>
          <w:tcPr>
            <w:tcW w:w="1240" w:type="dxa"/>
            <w:shd w:val="clear" w:color="auto" w:fill="auto"/>
          </w:tcPr>
          <w:p w14:paraId="6A20F42B" w14:textId="26955370" w:rsidR="00C5188B" w:rsidRDefault="00C5188B" w:rsidP="00C5188B">
            <w:pPr>
              <w:pStyle w:val="Stylepardfaut"/>
            </w:pPr>
            <w:r>
              <w:t>Séance 7</w:t>
            </w:r>
          </w:p>
        </w:tc>
        <w:tc>
          <w:tcPr>
            <w:tcW w:w="851" w:type="dxa"/>
          </w:tcPr>
          <w:p w14:paraId="0D4415C0" w14:textId="4BA9604D" w:rsidR="00C5188B" w:rsidRPr="0028709D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08033175" w14:textId="3F18265C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666116D2" w14:textId="77777777" w:rsidTr="0028709D">
        <w:tc>
          <w:tcPr>
            <w:tcW w:w="2798" w:type="dxa"/>
            <w:shd w:val="clear" w:color="auto" w:fill="auto"/>
          </w:tcPr>
          <w:p w14:paraId="55FDC2BA" w14:textId="08A85F60" w:rsidR="00C5188B" w:rsidRDefault="00C5188B" w:rsidP="00C5188B">
            <w:pPr>
              <w:pStyle w:val="Stylepardfaut"/>
            </w:pPr>
            <w:r>
              <w:t>21 novembre</w:t>
            </w:r>
          </w:p>
        </w:tc>
        <w:tc>
          <w:tcPr>
            <w:tcW w:w="2798" w:type="dxa"/>
            <w:shd w:val="clear" w:color="auto" w:fill="auto"/>
          </w:tcPr>
          <w:p w14:paraId="03243B48" w14:textId="722C5EA7" w:rsidR="00C5188B" w:rsidRDefault="00C5188B" w:rsidP="00C5188B">
            <w:pPr>
              <w:pStyle w:val="Stylepardfaut"/>
            </w:pPr>
            <w:r>
              <w:t>21 novembre</w:t>
            </w:r>
          </w:p>
        </w:tc>
        <w:tc>
          <w:tcPr>
            <w:tcW w:w="2798" w:type="dxa"/>
            <w:shd w:val="clear" w:color="auto" w:fill="auto"/>
          </w:tcPr>
          <w:p w14:paraId="2002E73D" w14:textId="5520783D" w:rsidR="00C5188B" w:rsidRDefault="00C5188B" w:rsidP="00C5188B">
            <w:pPr>
              <w:pStyle w:val="Stylepardfaut"/>
            </w:pPr>
            <w:r>
              <w:t>22 novembre</w:t>
            </w:r>
          </w:p>
        </w:tc>
        <w:tc>
          <w:tcPr>
            <w:tcW w:w="1240" w:type="dxa"/>
            <w:shd w:val="clear" w:color="auto" w:fill="auto"/>
          </w:tcPr>
          <w:p w14:paraId="2A6DDDD7" w14:textId="25BD2AAF" w:rsidR="00C5188B" w:rsidRDefault="00C5188B" w:rsidP="00C5188B">
            <w:pPr>
              <w:pStyle w:val="Stylepardfaut"/>
            </w:pPr>
            <w:r>
              <w:t>Séance 8</w:t>
            </w:r>
          </w:p>
        </w:tc>
        <w:tc>
          <w:tcPr>
            <w:tcW w:w="851" w:type="dxa"/>
          </w:tcPr>
          <w:p w14:paraId="53E440F2" w14:textId="6A5D513D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769C5475" w14:textId="1C8479CE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4345AA34" w14:textId="77777777" w:rsidTr="0028709D">
        <w:tc>
          <w:tcPr>
            <w:tcW w:w="2798" w:type="dxa"/>
            <w:shd w:val="clear" w:color="auto" w:fill="auto"/>
          </w:tcPr>
          <w:p w14:paraId="7FE8E8CF" w14:textId="38FC88CB" w:rsidR="00C5188B" w:rsidRDefault="00C5188B" w:rsidP="00C5188B">
            <w:pPr>
              <w:pStyle w:val="Stylepardfaut"/>
            </w:pPr>
            <w:r>
              <w:t>28 novembre</w:t>
            </w:r>
          </w:p>
        </w:tc>
        <w:tc>
          <w:tcPr>
            <w:tcW w:w="2798" w:type="dxa"/>
            <w:shd w:val="clear" w:color="auto" w:fill="auto"/>
          </w:tcPr>
          <w:p w14:paraId="253838B9" w14:textId="4B85ECBF" w:rsidR="00C5188B" w:rsidRDefault="00C5188B" w:rsidP="00C5188B">
            <w:pPr>
              <w:pStyle w:val="Stylepardfaut"/>
            </w:pPr>
            <w:r>
              <w:t>28 novembre</w:t>
            </w:r>
          </w:p>
        </w:tc>
        <w:tc>
          <w:tcPr>
            <w:tcW w:w="2798" w:type="dxa"/>
            <w:shd w:val="clear" w:color="auto" w:fill="auto"/>
          </w:tcPr>
          <w:p w14:paraId="78E4DDDB" w14:textId="77AF26E2" w:rsidR="00C5188B" w:rsidRDefault="00C5188B" w:rsidP="00C5188B">
            <w:pPr>
              <w:pStyle w:val="Stylepardfaut"/>
            </w:pPr>
            <w:r>
              <w:t>29 novembre</w:t>
            </w:r>
          </w:p>
        </w:tc>
        <w:tc>
          <w:tcPr>
            <w:tcW w:w="1240" w:type="dxa"/>
            <w:shd w:val="clear" w:color="auto" w:fill="auto"/>
          </w:tcPr>
          <w:p w14:paraId="7F2013CA" w14:textId="73CAAECC" w:rsidR="00C5188B" w:rsidRDefault="00C5188B" w:rsidP="00C5188B">
            <w:pPr>
              <w:pStyle w:val="Stylepardfaut"/>
            </w:pPr>
            <w:r>
              <w:t>Séance 9</w:t>
            </w:r>
          </w:p>
        </w:tc>
        <w:tc>
          <w:tcPr>
            <w:tcW w:w="851" w:type="dxa"/>
          </w:tcPr>
          <w:p w14:paraId="0CA428B1" w14:textId="20994125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10B9CEF8" w14:textId="21419A45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4771B2F9" w14:textId="77777777" w:rsidTr="0028709D">
        <w:tc>
          <w:tcPr>
            <w:tcW w:w="2798" w:type="dxa"/>
            <w:shd w:val="clear" w:color="auto" w:fill="auto"/>
          </w:tcPr>
          <w:p w14:paraId="0B68B8FD" w14:textId="227BFB65" w:rsidR="00C5188B" w:rsidRDefault="00C5188B" w:rsidP="00C5188B">
            <w:pPr>
              <w:pStyle w:val="Stylepardfaut"/>
            </w:pPr>
            <w:r>
              <w:t>5 décembre</w:t>
            </w:r>
          </w:p>
        </w:tc>
        <w:tc>
          <w:tcPr>
            <w:tcW w:w="2798" w:type="dxa"/>
            <w:shd w:val="clear" w:color="auto" w:fill="auto"/>
          </w:tcPr>
          <w:p w14:paraId="4B8D7131" w14:textId="0DB13E03" w:rsidR="00C5188B" w:rsidRDefault="00C5188B" w:rsidP="00C5188B">
            <w:pPr>
              <w:pStyle w:val="Stylepardfaut"/>
            </w:pPr>
            <w:r>
              <w:t>5 décembre</w:t>
            </w:r>
          </w:p>
        </w:tc>
        <w:tc>
          <w:tcPr>
            <w:tcW w:w="2798" w:type="dxa"/>
            <w:shd w:val="clear" w:color="auto" w:fill="auto"/>
          </w:tcPr>
          <w:p w14:paraId="0C3C2FE2" w14:textId="1CAE6106" w:rsidR="00C5188B" w:rsidRDefault="00C5188B" w:rsidP="00C5188B">
            <w:pPr>
              <w:pStyle w:val="Stylepardfaut"/>
            </w:pPr>
            <w:r>
              <w:t>6 décembre</w:t>
            </w:r>
          </w:p>
        </w:tc>
        <w:tc>
          <w:tcPr>
            <w:tcW w:w="1240" w:type="dxa"/>
            <w:shd w:val="clear" w:color="auto" w:fill="auto"/>
          </w:tcPr>
          <w:p w14:paraId="7C05A4B9" w14:textId="760DBD09" w:rsidR="00C5188B" w:rsidRDefault="00C5188B" w:rsidP="00C5188B">
            <w:pPr>
              <w:pStyle w:val="Stylepardfaut"/>
            </w:pPr>
            <w:r>
              <w:t>Séance 10</w:t>
            </w:r>
          </w:p>
        </w:tc>
        <w:tc>
          <w:tcPr>
            <w:tcW w:w="851" w:type="dxa"/>
          </w:tcPr>
          <w:p w14:paraId="7F8D532D" w14:textId="601EECE8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6BBCDCDB" w14:textId="6CC81903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42572C94" w14:textId="77777777" w:rsidTr="0028709D">
        <w:tc>
          <w:tcPr>
            <w:tcW w:w="2798" w:type="dxa"/>
            <w:shd w:val="clear" w:color="auto" w:fill="auto"/>
          </w:tcPr>
          <w:p w14:paraId="3BD9155E" w14:textId="2619CD06" w:rsidR="00C5188B" w:rsidRDefault="00C5188B" w:rsidP="00C5188B">
            <w:pPr>
              <w:pStyle w:val="Stylepardfaut"/>
            </w:pPr>
            <w:r>
              <w:t>12 décembre</w:t>
            </w:r>
          </w:p>
        </w:tc>
        <w:tc>
          <w:tcPr>
            <w:tcW w:w="2798" w:type="dxa"/>
            <w:shd w:val="clear" w:color="auto" w:fill="auto"/>
          </w:tcPr>
          <w:p w14:paraId="121593EA" w14:textId="403F0D96" w:rsidR="00C5188B" w:rsidRDefault="00C5188B" w:rsidP="00C5188B">
            <w:pPr>
              <w:pStyle w:val="Stylepardfaut"/>
            </w:pPr>
            <w:r>
              <w:t>12 décembre</w:t>
            </w:r>
          </w:p>
        </w:tc>
        <w:tc>
          <w:tcPr>
            <w:tcW w:w="2798" w:type="dxa"/>
            <w:shd w:val="clear" w:color="auto" w:fill="auto"/>
          </w:tcPr>
          <w:p w14:paraId="60D82689" w14:textId="7279AFBC" w:rsidR="00C5188B" w:rsidRDefault="00C5188B" w:rsidP="00C5188B">
            <w:pPr>
              <w:pStyle w:val="Stylepardfaut"/>
            </w:pPr>
            <w:r>
              <w:t xml:space="preserve">13 décembre </w:t>
            </w:r>
          </w:p>
        </w:tc>
        <w:tc>
          <w:tcPr>
            <w:tcW w:w="1240" w:type="dxa"/>
            <w:shd w:val="clear" w:color="auto" w:fill="auto"/>
          </w:tcPr>
          <w:p w14:paraId="5F4B4E41" w14:textId="77A216B4" w:rsidR="00C5188B" w:rsidRDefault="00C5188B" w:rsidP="00C5188B">
            <w:pPr>
              <w:pStyle w:val="Stylepardfaut"/>
            </w:pPr>
            <w:r>
              <w:t>Séance 11</w:t>
            </w:r>
          </w:p>
        </w:tc>
        <w:tc>
          <w:tcPr>
            <w:tcW w:w="851" w:type="dxa"/>
          </w:tcPr>
          <w:p w14:paraId="6705F073" w14:textId="1119A70E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69E647A3" w14:textId="53748106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2D615B62" w14:textId="77777777" w:rsidTr="0028709D">
        <w:tc>
          <w:tcPr>
            <w:tcW w:w="2798" w:type="dxa"/>
            <w:shd w:val="clear" w:color="auto" w:fill="auto"/>
          </w:tcPr>
          <w:p w14:paraId="40ECB9BD" w14:textId="24889ECE" w:rsidR="00C5188B" w:rsidRDefault="00C5188B" w:rsidP="00C5188B">
            <w:pPr>
              <w:pStyle w:val="Stylepardfaut"/>
            </w:pPr>
            <w:r>
              <w:t xml:space="preserve">19 décembre </w:t>
            </w:r>
          </w:p>
        </w:tc>
        <w:tc>
          <w:tcPr>
            <w:tcW w:w="2798" w:type="dxa"/>
            <w:shd w:val="clear" w:color="auto" w:fill="auto"/>
          </w:tcPr>
          <w:p w14:paraId="549E6266" w14:textId="2FC94D74" w:rsidR="00C5188B" w:rsidRDefault="00C5188B" w:rsidP="00C5188B">
            <w:pPr>
              <w:pStyle w:val="Stylepardfaut"/>
            </w:pPr>
            <w:r>
              <w:t xml:space="preserve">19 décembre </w:t>
            </w:r>
          </w:p>
        </w:tc>
        <w:tc>
          <w:tcPr>
            <w:tcW w:w="2798" w:type="dxa"/>
            <w:shd w:val="clear" w:color="auto" w:fill="auto"/>
          </w:tcPr>
          <w:p w14:paraId="5B31BB9E" w14:textId="7A1EEDE6" w:rsidR="00C5188B" w:rsidRDefault="00C5188B" w:rsidP="00C5188B">
            <w:pPr>
              <w:pStyle w:val="Stylepardfaut"/>
            </w:pPr>
            <w:r>
              <w:t>20 décembre</w:t>
            </w:r>
          </w:p>
        </w:tc>
        <w:tc>
          <w:tcPr>
            <w:tcW w:w="1240" w:type="dxa"/>
            <w:shd w:val="clear" w:color="auto" w:fill="auto"/>
          </w:tcPr>
          <w:p w14:paraId="1DF79110" w14:textId="2EF7EE96" w:rsidR="00C5188B" w:rsidRDefault="00C5188B" w:rsidP="00C5188B">
            <w:pPr>
              <w:pStyle w:val="Stylepardfaut"/>
            </w:pPr>
            <w:r>
              <w:t>Séance 12</w:t>
            </w:r>
          </w:p>
        </w:tc>
        <w:tc>
          <w:tcPr>
            <w:tcW w:w="851" w:type="dxa"/>
          </w:tcPr>
          <w:p w14:paraId="3D84E589" w14:textId="4CF49CC0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FLG</w:t>
            </w:r>
          </w:p>
        </w:tc>
        <w:tc>
          <w:tcPr>
            <w:tcW w:w="3507" w:type="dxa"/>
          </w:tcPr>
          <w:p w14:paraId="2E6680A1" w14:textId="3786A39D" w:rsidR="00C5188B" w:rsidRDefault="00C5188B" w:rsidP="00C5188B">
            <w:pPr>
              <w:pStyle w:val="Stylepardfaut"/>
            </w:pPr>
            <w:r>
              <w:t>Les années</w:t>
            </w:r>
          </w:p>
        </w:tc>
      </w:tr>
      <w:tr w:rsidR="00C5188B" w14:paraId="5C2093DC" w14:textId="77777777" w:rsidTr="0028709D">
        <w:tc>
          <w:tcPr>
            <w:tcW w:w="2798" w:type="dxa"/>
            <w:shd w:val="clear" w:color="auto" w:fill="auto"/>
          </w:tcPr>
          <w:p w14:paraId="30B17942" w14:textId="77777777" w:rsidR="00C5188B" w:rsidRDefault="00C5188B" w:rsidP="00C5188B">
            <w:pPr>
              <w:pStyle w:val="Stylepardfaut"/>
            </w:pPr>
          </w:p>
        </w:tc>
        <w:tc>
          <w:tcPr>
            <w:tcW w:w="2798" w:type="dxa"/>
            <w:shd w:val="clear" w:color="auto" w:fill="auto"/>
          </w:tcPr>
          <w:p w14:paraId="2385B01F" w14:textId="77777777" w:rsidR="00C5188B" w:rsidRDefault="00C5188B" w:rsidP="00C5188B">
            <w:pPr>
              <w:pStyle w:val="Stylepardfaut"/>
            </w:pPr>
          </w:p>
        </w:tc>
        <w:tc>
          <w:tcPr>
            <w:tcW w:w="2798" w:type="dxa"/>
            <w:shd w:val="clear" w:color="auto" w:fill="auto"/>
          </w:tcPr>
          <w:p w14:paraId="5AC25241" w14:textId="77777777" w:rsidR="00C5188B" w:rsidRDefault="00C5188B" w:rsidP="00C5188B">
            <w:pPr>
              <w:pStyle w:val="Stylepardfaut"/>
            </w:pPr>
          </w:p>
        </w:tc>
        <w:tc>
          <w:tcPr>
            <w:tcW w:w="1240" w:type="dxa"/>
            <w:shd w:val="clear" w:color="auto" w:fill="auto"/>
          </w:tcPr>
          <w:p w14:paraId="6BDA5BE8" w14:textId="77777777" w:rsidR="00C5188B" w:rsidRDefault="00C5188B" w:rsidP="00C5188B">
            <w:pPr>
              <w:pStyle w:val="Stylepardfaut"/>
            </w:pPr>
          </w:p>
        </w:tc>
        <w:tc>
          <w:tcPr>
            <w:tcW w:w="851" w:type="dxa"/>
          </w:tcPr>
          <w:p w14:paraId="3304BA62" w14:textId="77777777" w:rsidR="00C5188B" w:rsidRDefault="00C5188B" w:rsidP="00C5188B">
            <w:pPr>
              <w:pStyle w:val="Stylepardfaut"/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14:paraId="576F190B" w14:textId="77777777" w:rsidR="00C5188B" w:rsidRDefault="00C5188B" w:rsidP="00C5188B">
            <w:pPr>
              <w:pStyle w:val="Stylepardfaut"/>
            </w:pPr>
          </w:p>
        </w:tc>
      </w:tr>
    </w:tbl>
    <w:p w14:paraId="6F2F106B" w14:textId="69344E11" w:rsidR="0040676E" w:rsidRDefault="0040676E" w:rsidP="0066645C">
      <w:pPr>
        <w:pStyle w:val="Stylepardfaut"/>
      </w:pPr>
    </w:p>
    <w:p w14:paraId="16A3CE3A" w14:textId="6465390F" w:rsidR="004E1859" w:rsidRDefault="004E1859" w:rsidP="0066645C">
      <w:pPr>
        <w:pStyle w:val="Stylepardfaut"/>
      </w:pPr>
      <w:r>
        <w:t>* Le colloque « </w:t>
      </w:r>
      <w:hyperlink r:id="rId6" w:history="1">
        <w:r>
          <w:rPr>
            <w:rStyle w:val="Lienhypertexte"/>
          </w:rPr>
          <w:t>Les territoires de la fiction de l'école à l'université</w:t>
        </w:r>
      </w:hyperlink>
      <w:r>
        <w:t xml:space="preserve"> » (organisé par François le Goff et son équipe) se tiendra à l’INSPÉ (métro st </w:t>
      </w:r>
      <w:proofErr w:type="spellStart"/>
      <w:r>
        <w:t>agne</w:t>
      </w:r>
      <w:proofErr w:type="spellEnd"/>
      <w:r>
        <w:t>). Programme à venir. Nécessité de s’inscrire avant le 18 octobre.</w:t>
      </w:r>
    </w:p>
    <w:sectPr w:rsidR="004E1859">
      <w:footerReference w:type="default" r:id="rId7"/>
      <w:headerReference w:type="first" r:id="rId8"/>
      <w:pgSz w:w="16838" w:h="11906" w:orient="landscape"/>
      <w:pgMar w:top="442" w:right="1418" w:bottom="777" w:left="1418" w:header="294" w:footer="72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09AC" w14:textId="77777777" w:rsidR="00CB6B7E" w:rsidRDefault="00CB6B7E">
      <w:r>
        <w:separator/>
      </w:r>
    </w:p>
  </w:endnote>
  <w:endnote w:type="continuationSeparator" w:id="0">
    <w:p w14:paraId="68CF22EE" w14:textId="77777777" w:rsidR="00CB6B7E" w:rsidRDefault="00CB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268C" w14:textId="77777777" w:rsidR="00B14538" w:rsidRDefault="00417615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C82" w14:textId="77777777" w:rsidR="00CB6B7E" w:rsidRDefault="00CB6B7E">
      <w:r>
        <w:separator/>
      </w:r>
    </w:p>
  </w:footnote>
  <w:footnote w:type="continuationSeparator" w:id="0">
    <w:p w14:paraId="592E2332" w14:textId="77777777" w:rsidR="00CB6B7E" w:rsidRDefault="00CB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548DD4"/>
        <w:left w:val="single" w:sz="8" w:space="0" w:color="DBE5F1"/>
        <w:bottom w:val="single" w:sz="8" w:space="0" w:color="DBE5F1"/>
        <w:insideH w:val="single" w:sz="8" w:space="0" w:color="DBE5F1"/>
      </w:tblBorders>
      <w:tblCellMar>
        <w:left w:w="107" w:type="dxa"/>
      </w:tblCellMar>
      <w:tblLook w:val="04A0" w:firstRow="1" w:lastRow="0" w:firstColumn="1" w:lastColumn="0" w:noHBand="0" w:noVBand="1"/>
    </w:tblPr>
    <w:tblGrid>
      <w:gridCol w:w="13422"/>
      <w:gridCol w:w="452"/>
    </w:tblGrid>
    <w:tr w:rsidR="00B14538" w14:paraId="7E36B30A" w14:textId="77777777">
      <w:tc>
        <w:tcPr>
          <w:tcW w:w="13770" w:type="dxa"/>
          <w:tcBorders>
            <w:top w:val="single" w:sz="18" w:space="0" w:color="548DD4"/>
            <w:left w:val="single" w:sz="8" w:space="0" w:color="DBE5F1"/>
            <w:bottom w:val="single" w:sz="8" w:space="0" w:color="DBE5F1"/>
          </w:tcBorders>
          <w:shd w:val="clear" w:color="auto" w:fill="DBE5F1"/>
          <w:tcMar>
            <w:left w:w="107" w:type="dxa"/>
          </w:tcMar>
        </w:tcPr>
        <w:p w14:paraId="5938A708" w14:textId="1E3D14AF" w:rsidR="00B14538" w:rsidRDefault="00417615" w:rsidP="00BC3D0F">
          <w:pPr>
            <w:pStyle w:val="Stylepardfaut"/>
          </w:pPr>
          <w:r>
            <w:rPr>
              <w:rFonts w:ascii="Calibri" w:hAnsi="Calibri"/>
              <w:b/>
              <w:szCs w:val="24"/>
            </w:rPr>
            <w:t>U</w:t>
          </w:r>
          <w:r w:rsidR="00907E33">
            <w:rPr>
              <w:rFonts w:ascii="Calibri" w:hAnsi="Calibri"/>
              <w:b/>
              <w:szCs w:val="24"/>
            </w:rPr>
            <w:t>T2J- DEFLE – Année 5</w:t>
          </w:r>
          <w:r>
            <w:rPr>
              <w:rFonts w:ascii="Calibri" w:hAnsi="Calibri"/>
              <w:b/>
              <w:szCs w:val="24"/>
            </w:rPr>
            <w:t xml:space="preserve"> – </w:t>
          </w:r>
          <w:r w:rsidRPr="0045468A">
            <w:rPr>
              <w:rFonts w:ascii="Calibri" w:hAnsi="Calibri"/>
              <w:b/>
              <w:szCs w:val="24"/>
              <w:highlight w:val="yellow"/>
            </w:rPr>
            <w:t>20</w:t>
          </w:r>
          <w:r w:rsidR="00CF397E" w:rsidRPr="0045468A">
            <w:rPr>
              <w:rFonts w:ascii="Calibri" w:hAnsi="Calibri"/>
              <w:b/>
              <w:szCs w:val="24"/>
              <w:highlight w:val="yellow"/>
            </w:rPr>
            <w:t>2</w:t>
          </w:r>
          <w:r w:rsidR="0045468A" w:rsidRPr="0045468A">
            <w:rPr>
              <w:rFonts w:ascii="Calibri" w:hAnsi="Calibri"/>
              <w:b/>
              <w:szCs w:val="24"/>
              <w:highlight w:val="yellow"/>
            </w:rPr>
            <w:t>3</w:t>
          </w:r>
          <w:r w:rsidRPr="0045468A">
            <w:rPr>
              <w:rFonts w:ascii="Calibri" w:hAnsi="Calibri"/>
              <w:b/>
              <w:szCs w:val="24"/>
              <w:highlight w:val="yellow"/>
            </w:rPr>
            <w:t>- 20</w:t>
          </w:r>
          <w:r w:rsidR="00CF397E" w:rsidRPr="0045468A">
            <w:rPr>
              <w:rFonts w:ascii="Calibri" w:hAnsi="Calibri"/>
              <w:b/>
              <w:szCs w:val="24"/>
              <w:highlight w:val="yellow"/>
            </w:rPr>
            <w:t>2</w:t>
          </w:r>
          <w:r w:rsidR="0045468A" w:rsidRPr="0045468A">
            <w:rPr>
              <w:rFonts w:ascii="Calibri" w:hAnsi="Calibri"/>
              <w:b/>
              <w:szCs w:val="24"/>
              <w:highlight w:val="yellow"/>
            </w:rPr>
            <w:t>4</w:t>
          </w:r>
          <w:r w:rsidR="0089603B">
            <w:rPr>
              <w:rFonts w:ascii="Calibri" w:hAnsi="Calibri"/>
              <w:b/>
              <w:szCs w:val="24"/>
            </w:rPr>
            <w:t xml:space="preserve"> </w:t>
          </w:r>
          <w:r w:rsidR="0066645C">
            <w:t>–</w:t>
          </w:r>
          <w:r w:rsidR="0089603B">
            <w:t xml:space="preserve"> </w:t>
          </w:r>
          <w:r w:rsidR="0066645C">
            <w:rPr>
              <w:rFonts w:ascii="Calibri" w:hAnsi="Calibri"/>
              <w:b/>
              <w:szCs w:val="24"/>
            </w:rPr>
            <w:t>Litté FF</w:t>
          </w:r>
          <w:r w:rsidR="00907E33">
            <w:rPr>
              <w:rFonts w:ascii="Calibri" w:hAnsi="Calibri"/>
              <w:b/>
              <w:szCs w:val="24"/>
            </w:rPr>
            <w:t xml:space="preserve"> </w:t>
          </w:r>
          <w:r w:rsidR="0066645C">
            <w:t>–</w:t>
          </w:r>
          <w:r w:rsidR="0089603B">
            <w:t xml:space="preserve"> </w:t>
          </w:r>
          <w:r w:rsidR="0066645C">
            <w:t xml:space="preserve">Module B_ </w:t>
          </w:r>
          <w:r w:rsidRPr="0089603B">
            <w:rPr>
              <w:rFonts w:ascii="Calibri" w:hAnsi="Calibri"/>
              <w:b/>
              <w:i/>
              <w:szCs w:val="24"/>
            </w:rPr>
            <w:t>Ch</w:t>
          </w:r>
          <w:r w:rsidR="00907E33" w:rsidRPr="0089603B">
            <w:rPr>
              <w:rFonts w:ascii="Calibri" w:hAnsi="Calibri"/>
              <w:b/>
              <w:i/>
              <w:szCs w:val="24"/>
            </w:rPr>
            <w:t>antal</w:t>
          </w:r>
          <w:r w:rsidR="00907E33">
            <w:rPr>
              <w:rFonts w:ascii="Calibri" w:hAnsi="Calibri"/>
              <w:b/>
              <w:i/>
              <w:szCs w:val="24"/>
            </w:rPr>
            <w:t xml:space="preserve"> </w:t>
          </w:r>
          <w:r w:rsidRPr="00907E33">
            <w:rPr>
              <w:rFonts w:ascii="Calibri" w:hAnsi="Calibri"/>
              <w:b/>
              <w:i/>
              <w:szCs w:val="24"/>
            </w:rPr>
            <w:t>D</w:t>
          </w:r>
          <w:r w:rsidR="00907E33">
            <w:rPr>
              <w:rFonts w:ascii="Calibri" w:hAnsi="Calibri"/>
              <w:b/>
              <w:i/>
              <w:szCs w:val="24"/>
            </w:rPr>
            <w:t>ompmartin</w:t>
          </w:r>
          <w:r w:rsidR="005F4C86">
            <w:rPr>
              <w:rFonts w:ascii="Calibri" w:hAnsi="Calibri"/>
              <w:b/>
              <w:i/>
              <w:szCs w:val="24"/>
            </w:rPr>
            <w:t xml:space="preserve"> </w:t>
          </w:r>
          <w:r w:rsidR="00F22D5C">
            <w:rPr>
              <w:rFonts w:ascii="Calibri" w:hAnsi="Calibri"/>
              <w:b/>
              <w:i/>
              <w:szCs w:val="24"/>
            </w:rPr>
            <w:t>_</w:t>
          </w:r>
          <w:r w:rsidR="0066645C">
            <w:rPr>
              <w:rFonts w:ascii="Calibri" w:hAnsi="Calibri"/>
              <w:b/>
              <w:i/>
              <w:szCs w:val="24"/>
            </w:rPr>
            <w:t xml:space="preserve">François </w:t>
          </w:r>
          <w:r w:rsidR="0028709D">
            <w:rPr>
              <w:rFonts w:ascii="Calibri" w:hAnsi="Calibri"/>
              <w:b/>
              <w:i/>
              <w:szCs w:val="24"/>
            </w:rPr>
            <w:t>L</w:t>
          </w:r>
          <w:r w:rsidR="0066645C">
            <w:rPr>
              <w:rFonts w:ascii="Calibri" w:hAnsi="Calibri"/>
              <w:b/>
              <w:i/>
              <w:szCs w:val="24"/>
            </w:rPr>
            <w:t>e Goff _</w:t>
          </w:r>
          <w:r w:rsidRPr="00907E33">
            <w:rPr>
              <w:rFonts w:ascii="Calibri" w:hAnsi="Calibri"/>
              <w:b/>
              <w:szCs w:val="24"/>
            </w:rPr>
            <w:t xml:space="preserve">Calendrier des séances </w:t>
          </w:r>
        </w:p>
      </w:tc>
      <w:tc>
        <w:tcPr>
          <w:tcW w:w="459" w:type="dxa"/>
          <w:tcBorders>
            <w:top w:val="single" w:sz="18" w:space="0" w:color="548DD4"/>
            <w:bottom w:val="single" w:sz="8" w:space="0" w:color="DBE5F1"/>
            <w:right w:val="single" w:sz="8" w:space="0" w:color="DBE5F1"/>
          </w:tcBorders>
          <w:shd w:val="clear" w:color="auto" w:fill="DBE5F1"/>
        </w:tcPr>
        <w:p w14:paraId="6D6CB3B2" w14:textId="77777777" w:rsidR="00B14538" w:rsidRDefault="00B14538">
          <w:pPr>
            <w:pStyle w:val="Stylepardfaut"/>
            <w:jc w:val="center"/>
          </w:pPr>
        </w:p>
      </w:tc>
    </w:tr>
  </w:tbl>
  <w:p w14:paraId="137F7EBF" w14:textId="77777777" w:rsidR="00B14538" w:rsidRDefault="00B14538">
    <w:pPr>
      <w:pStyle w:val="Stylepardfau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38"/>
    <w:rsid w:val="00013066"/>
    <w:rsid w:val="00044D0F"/>
    <w:rsid w:val="000453EE"/>
    <w:rsid w:val="00047EBC"/>
    <w:rsid w:val="000635D2"/>
    <w:rsid w:val="00063E00"/>
    <w:rsid w:val="00073E4E"/>
    <w:rsid w:val="00086CF4"/>
    <w:rsid w:val="000A263F"/>
    <w:rsid w:val="000C1D73"/>
    <w:rsid w:val="000D3FEE"/>
    <w:rsid w:val="000F790F"/>
    <w:rsid w:val="0012465B"/>
    <w:rsid w:val="00133B0F"/>
    <w:rsid w:val="00147B31"/>
    <w:rsid w:val="00166569"/>
    <w:rsid w:val="001672ED"/>
    <w:rsid w:val="001717DE"/>
    <w:rsid w:val="00183D96"/>
    <w:rsid w:val="00196FEE"/>
    <w:rsid w:val="001B6B03"/>
    <w:rsid w:val="001C5025"/>
    <w:rsid w:val="001E0561"/>
    <w:rsid w:val="001E5E34"/>
    <w:rsid w:val="00202942"/>
    <w:rsid w:val="002276D6"/>
    <w:rsid w:val="00243803"/>
    <w:rsid w:val="002513E3"/>
    <w:rsid w:val="00255738"/>
    <w:rsid w:val="0028709D"/>
    <w:rsid w:val="00290303"/>
    <w:rsid w:val="002D33E4"/>
    <w:rsid w:val="003004F1"/>
    <w:rsid w:val="003562AB"/>
    <w:rsid w:val="00375E19"/>
    <w:rsid w:val="003D4BA2"/>
    <w:rsid w:val="003F4480"/>
    <w:rsid w:val="003F7B49"/>
    <w:rsid w:val="0040676E"/>
    <w:rsid w:val="0041230F"/>
    <w:rsid w:val="00417615"/>
    <w:rsid w:val="004309D7"/>
    <w:rsid w:val="00430F41"/>
    <w:rsid w:val="0045468A"/>
    <w:rsid w:val="004741F9"/>
    <w:rsid w:val="00483E19"/>
    <w:rsid w:val="00490B6D"/>
    <w:rsid w:val="004C248C"/>
    <w:rsid w:val="004E077F"/>
    <w:rsid w:val="004E1859"/>
    <w:rsid w:val="004F5565"/>
    <w:rsid w:val="004F7FF8"/>
    <w:rsid w:val="005316F0"/>
    <w:rsid w:val="00544EB4"/>
    <w:rsid w:val="00573489"/>
    <w:rsid w:val="00575EDC"/>
    <w:rsid w:val="0058706A"/>
    <w:rsid w:val="00590384"/>
    <w:rsid w:val="005B1E99"/>
    <w:rsid w:val="005E4AEE"/>
    <w:rsid w:val="005F1A9B"/>
    <w:rsid w:val="005F4C86"/>
    <w:rsid w:val="006477D7"/>
    <w:rsid w:val="0066645C"/>
    <w:rsid w:val="00675129"/>
    <w:rsid w:val="006834B5"/>
    <w:rsid w:val="006923A8"/>
    <w:rsid w:val="006B0311"/>
    <w:rsid w:val="006B528B"/>
    <w:rsid w:val="006F02A0"/>
    <w:rsid w:val="00703558"/>
    <w:rsid w:val="00707E04"/>
    <w:rsid w:val="0071165A"/>
    <w:rsid w:val="00736BC7"/>
    <w:rsid w:val="007A700E"/>
    <w:rsid w:val="007B7ADB"/>
    <w:rsid w:val="007D57AA"/>
    <w:rsid w:val="007D79D6"/>
    <w:rsid w:val="007E5340"/>
    <w:rsid w:val="007F1FB2"/>
    <w:rsid w:val="007F36AE"/>
    <w:rsid w:val="007F7F16"/>
    <w:rsid w:val="00824003"/>
    <w:rsid w:val="008341A4"/>
    <w:rsid w:val="0083456B"/>
    <w:rsid w:val="0083733A"/>
    <w:rsid w:val="008565BB"/>
    <w:rsid w:val="00856A43"/>
    <w:rsid w:val="00856ACE"/>
    <w:rsid w:val="0086041F"/>
    <w:rsid w:val="00871CA2"/>
    <w:rsid w:val="00875E39"/>
    <w:rsid w:val="00881055"/>
    <w:rsid w:val="008910B9"/>
    <w:rsid w:val="0089603B"/>
    <w:rsid w:val="00896B7D"/>
    <w:rsid w:val="008B1428"/>
    <w:rsid w:val="008D66ED"/>
    <w:rsid w:val="008D72F0"/>
    <w:rsid w:val="008E095A"/>
    <w:rsid w:val="008E6F3C"/>
    <w:rsid w:val="008F24BE"/>
    <w:rsid w:val="008F6B5C"/>
    <w:rsid w:val="009010D0"/>
    <w:rsid w:val="00904295"/>
    <w:rsid w:val="00907E33"/>
    <w:rsid w:val="00950495"/>
    <w:rsid w:val="0095260B"/>
    <w:rsid w:val="009C570D"/>
    <w:rsid w:val="009D563E"/>
    <w:rsid w:val="009D7EBE"/>
    <w:rsid w:val="00A44A42"/>
    <w:rsid w:val="00A54129"/>
    <w:rsid w:val="00A700BE"/>
    <w:rsid w:val="00A76DFA"/>
    <w:rsid w:val="00A8725B"/>
    <w:rsid w:val="00AA2028"/>
    <w:rsid w:val="00AC1248"/>
    <w:rsid w:val="00AD21E1"/>
    <w:rsid w:val="00B00E77"/>
    <w:rsid w:val="00B05BF2"/>
    <w:rsid w:val="00B14538"/>
    <w:rsid w:val="00B25382"/>
    <w:rsid w:val="00B579B6"/>
    <w:rsid w:val="00B84C98"/>
    <w:rsid w:val="00B85442"/>
    <w:rsid w:val="00BB450B"/>
    <w:rsid w:val="00BB5F09"/>
    <w:rsid w:val="00BC3D0F"/>
    <w:rsid w:val="00BC5B4C"/>
    <w:rsid w:val="00BD2FEE"/>
    <w:rsid w:val="00BD4C4A"/>
    <w:rsid w:val="00BF5302"/>
    <w:rsid w:val="00C1729E"/>
    <w:rsid w:val="00C47A68"/>
    <w:rsid w:val="00C5188B"/>
    <w:rsid w:val="00C5653A"/>
    <w:rsid w:val="00C6617B"/>
    <w:rsid w:val="00CB6B7E"/>
    <w:rsid w:val="00CB7F40"/>
    <w:rsid w:val="00CD6C45"/>
    <w:rsid w:val="00CE6375"/>
    <w:rsid w:val="00CF397E"/>
    <w:rsid w:val="00D060DF"/>
    <w:rsid w:val="00D067E1"/>
    <w:rsid w:val="00D11118"/>
    <w:rsid w:val="00D17704"/>
    <w:rsid w:val="00D604EC"/>
    <w:rsid w:val="00D60C4A"/>
    <w:rsid w:val="00D75646"/>
    <w:rsid w:val="00D82B7F"/>
    <w:rsid w:val="00D909AB"/>
    <w:rsid w:val="00DA2E09"/>
    <w:rsid w:val="00DF1024"/>
    <w:rsid w:val="00E20D8E"/>
    <w:rsid w:val="00E27C0C"/>
    <w:rsid w:val="00E42896"/>
    <w:rsid w:val="00E67254"/>
    <w:rsid w:val="00E76E17"/>
    <w:rsid w:val="00E96817"/>
    <w:rsid w:val="00EA10F7"/>
    <w:rsid w:val="00EA2BD2"/>
    <w:rsid w:val="00EA38A4"/>
    <w:rsid w:val="00EB1786"/>
    <w:rsid w:val="00ED2900"/>
    <w:rsid w:val="00EE12E8"/>
    <w:rsid w:val="00EE3AF0"/>
    <w:rsid w:val="00EE5225"/>
    <w:rsid w:val="00EF2730"/>
    <w:rsid w:val="00F10345"/>
    <w:rsid w:val="00F22D5C"/>
    <w:rsid w:val="00F74098"/>
    <w:rsid w:val="00F817C1"/>
    <w:rsid w:val="00F93E77"/>
    <w:rsid w:val="00FA4D6F"/>
    <w:rsid w:val="00FB3BBE"/>
    <w:rsid w:val="00FC0FEE"/>
    <w:rsid w:val="00FD168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A8455F"/>
  <w15:docId w15:val="{461C68D1-5FAF-004F-9845-98792B51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ylepardfaut"/>
    <w:link w:val="Titre1Car"/>
    <w:uiPriority w:val="9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Stylepardfaut"/>
    <w:pPr>
      <w:keepNext/>
      <w:outlineLvl w:val="1"/>
    </w:pPr>
    <w:rPr>
      <w:b/>
      <w:bCs/>
      <w:sz w:val="22"/>
    </w:rPr>
  </w:style>
  <w:style w:type="paragraph" w:styleId="Titre3">
    <w:name w:val="heading 3"/>
    <w:basedOn w:val="Stylepardfaut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Stylepardfaut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Stylepardfaut"/>
    <w:pPr>
      <w:keepNext/>
      <w:outlineLvl w:val="4"/>
    </w:pPr>
    <w:rPr>
      <w:b/>
      <w:bCs/>
      <w:sz w:val="20"/>
    </w:rPr>
  </w:style>
  <w:style w:type="paragraph" w:styleId="Titre6">
    <w:name w:val="heading 6"/>
    <w:basedOn w:val="Stylepardfaut"/>
    <w:pPr>
      <w:keepNext/>
      <w:jc w:val="center"/>
      <w:outlineLvl w:val="5"/>
    </w:pPr>
    <w:rPr>
      <w:b/>
      <w:bCs/>
      <w:i/>
      <w:iCs/>
      <w:sz w:val="22"/>
    </w:rPr>
  </w:style>
  <w:style w:type="paragraph" w:styleId="Titre7">
    <w:name w:val="heading 7"/>
    <w:basedOn w:val="Stylepardfaut"/>
    <w:pPr>
      <w:keepNext/>
      <w:jc w:val="center"/>
      <w:outlineLvl w:val="6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</w:pPr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customStyle="1" w:styleId="CommentaireCar">
    <w:name w:val="Commentaire Car"/>
    <w:basedOn w:val="Policepardfaut"/>
    <w:rPr>
      <w:sz w:val="24"/>
      <w:szCs w:val="24"/>
      <w:lang w:val="fr-FR"/>
    </w:rPr>
  </w:style>
  <w:style w:type="character" w:customStyle="1" w:styleId="ObjetducommentaireCar">
    <w:name w:val="Objet du commentaire Car"/>
    <w:basedOn w:val="CommentaireCar"/>
    <w:rPr>
      <w:b/>
      <w:bCs/>
      <w:sz w:val="24"/>
      <w:szCs w:val="24"/>
      <w:lang w:val="fr-FR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  <w:lang w:val="fr-FR"/>
    </w:rPr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0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Stylepardfaut"/>
    <w:pPr>
      <w:jc w:val="both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Lohit Hindi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Corpsdetexte2">
    <w:name w:val="Body Text 2"/>
    <w:basedOn w:val="Stylepardfaut"/>
    <w:rPr>
      <w:b/>
      <w:bCs/>
      <w:i/>
      <w:iCs/>
    </w:rPr>
  </w:style>
  <w:style w:type="paragraph" w:styleId="Commentaire">
    <w:name w:val="annotation text"/>
    <w:basedOn w:val="Stylepardfaut"/>
    <w:rPr>
      <w:szCs w:val="24"/>
    </w:rPr>
  </w:style>
  <w:style w:type="paragraph" w:styleId="Objetducommentaire">
    <w:name w:val="annotation subject"/>
    <w:basedOn w:val="Commentaire"/>
    <w:rPr>
      <w:b/>
      <w:bCs/>
      <w:sz w:val="20"/>
      <w:szCs w:val="20"/>
    </w:rPr>
  </w:style>
  <w:style w:type="paragraph" w:styleId="Textedebulles">
    <w:name w:val="Balloon Text"/>
    <w:basedOn w:val="Stylepardfaut"/>
    <w:rPr>
      <w:rFonts w:ascii="Lucida Grande" w:hAnsi="Lucida Grande" w:cs="Lucida Grande"/>
      <w:sz w:val="18"/>
      <w:szCs w:val="18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Stylepardfaut"/>
  </w:style>
  <w:style w:type="paragraph" w:customStyle="1" w:styleId="Titredetableau">
    <w:name w:val="Titre de tableau"/>
    <w:basedOn w:val="Contenudetableau"/>
  </w:style>
  <w:style w:type="character" w:styleId="Lienhypertexte">
    <w:name w:val="Hyperlink"/>
    <w:basedOn w:val="Policepardfaut"/>
    <w:uiPriority w:val="99"/>
    <w:semiHidden/>
    <w:unhideWhenUsed/>
    <w:rsid w:val="00E27C0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316F0"/>
    <w:rPr>
      <w:rFonts w:ascii="Times New Roman" w:eastAsia="Times New Roman" w:hAnsi="Times New Roman" w:cs="Times New Roman"/>
      <w:b/>
      <w:bCs/>
      <w:i/>
      <w:iCs/>
      <w:szCs w:val="20"/>
      <w:lang w:eastAsia="fr-FR"/>
    </w:rPr>
  </w:style>
  <w:style w:type="table" w:styleId="Grilledutableau">
    <w:name w:val="Table Grid"/>
    <w:basedOn w:val="TableauNormal"/>
    <w:uiPriority w:val="59"/>
    <w:rsid w:val="0066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rencontres.sciencesconf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DEFLE – Année 4 - 2013-14 -----------                FL4010X -APPROFONDISSEMENT LANGUE FRANÇAISE   Calendrier des séances  </vt:lpstr>
    </vt:vector>
  </TitlesOfParts>
  <Company>moi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DEFLE – Année 4 - 2013-14 -----------                FL4010X -APPROFONDISSEMENT LANGUE FRANÇAISE   Calendrier des séances  </dc:title>
  <dc:subject>   </dc:subject>
  <dc:creator>cdn</dc:creator>
  <cp:lastModifiedBy>Relecture_ CDN</cp:lastModifiedBy>
  <cp:revision>10</cp:revision>
  <cp:lastPrinted>2018-10-15T09:45:00Z</cp:lastPrinted>
  <dcterms:created xsi:type="dcterms:W3CDTF">2023-09-04T06:51:00Z</dcterms:created>
  <dcterms:modified xsi:type="dcterms:W3CDTF">2023-10-10T10:52:00Z</dcterms:modified>
</cp:coreProperties>
</file>