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3F60" w14:textId="77777777" w:rsidR="00C62427" w:rsidRDefault="00C62427" w:rsidP="00C62427">
      <w:pPr>
        <w:ind w:left="360"/>
        <w:jc w:val="both"/>
        <w:rPr>
          <w:rFonts w:cstheme="minorHAnsi"/>
        </w:rPr>
      </w:pPr>
    </w:p>
    <w:p w14:paraId="1804C737" w14:textId="43244547" w:rsidR="00675CDD" w:rsidRPr="00675CDD" w:rsidRDefault="00675CDD" w:rsidP="00675CDD">
      <w:pPr>
        <w:pStyle w:val="Bibliographie"/>
        <w:spacing w:line="240" w:lineRule="auto"/>
        <w:rPr>
          <w:rFonts w:asciiTheme="majorHAnsi" w:hAnsiTheme="majorHAnsi" w:cstheme="majorHAnsi"/>
          <w:b/>
          <w:bCs/>
          <w:color w:val="7030A0"/>
        </w:rPr>
      </w:pPr>
      <w:r>
        <w:rPr>
          <w:noProof/>
        </w:rPr>
        <w:drawing>
          <wp:anchor distT="0" distB="0" distL="114300" distR="114300" simplePos="0" relativeHeight="251658240" behindDoc="0" locked="0" layoutInCell="1" allowOverlap="1" wp14:anchorId="27698BA8" wp14:editId="477CF399">
            <wp:simplePos x="0" y="0"/>
            <wp:positionH relativeFrom="column">
              <wp:posOffset>4161790</wp:posOffset>
            </wp:positionH>
            <wp:positionV relativeFrom="paragraph">
              <wp:posOffset>241935</wp:posOffset>
            </wp:positionV>
            <wp:extent cx="1452880" cy="814070"/>
            <wp:effectExtent l="0" t="0" r="0" b="0"/>
            <wp:wrapSquare wrapText="bothSides"/>
            <wp:docPr id="2091183097" name="Image 1" descr="Apprendre les déclinaisons est u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endre les déclinaisons est u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880" cy="814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rPr>
        <w:fldChar w:fldCharType="begin"/>
      </w:r>
      <w:r>
        <w:rPr>
          <w:rFonts w:cstheme="minorHAnsi"/>
        </w:rPr>
        <w:instrText xml:space="preserve"> ADDIN ZOTERO_BIBL {"uncited":[],"omitted":[],"custom":[]} CSL_BIBLIOGRAPHY </w:instrText>
      </w:r>
      <w:r>
        <w:rPr>
          <w:rFonts w:cstheme="minorHAnsi"/>
        </w:rPr>
        <w:fldChar w:fldCharType="separate"/>
      </w:r>
      <w:proofErr w:type="spellStart"/>
      <w:r w:rsidRPr="00675CDD">
        <w:rPr>
          <w:rFonts w:asciiTheme="majorHAnsi" w:hAnsiTheme="majorHAnsi" w:cstheme="majorHAnsi"/>
          <w:b/>
          <w:bCs/>
          <w:color w:val="7030A0"/>
        </w:rPr>
        <w:t>Watorek</w:t>
      </w:r>
      <w:proofErr w:type="spellEnd"/>
      <w:r w:rsidRPr="00675CDD">
        <w:rPr>
          <w:rFonts w:asciiTheme="majorHAnsi" w:hAnsiTheme="majorHAnsi" w:cstheme="majorHAnsi"/>
          <w:b/>
          <w:bCs/>
          <w:color w:val="7030A0"/>
        </w:rPr>
        <w:t xml:space="preserve">, M. (2021). Introduction à l’acquisition des langues étrangères. In </w:t>
      </w:r>
      <w:r w:rsidRPr="00675CDD">
        <w:rPr>
          <w:rFonts w:asciiTheme="majorHAnsi" w:hAnsiTheme="majorHAnsi" w:cstheme="majorHAnsi"/>
          <w:b/>
          <w:bCs/>
          <w:i/>
          <w:iCs/>
          <w:color w:val="7030A0"/>
        </w:rPr>
        <w:t>Pratiques pédagogiques</w:t>
      </w:r>
      <w:r w:rsidRPr="00675CDD">
        <w:rPr>
          <w:rFonts w:asciiTheme="majorHAnsi" w:hAnsiTheme="majorHAnsi" w:cstheme="majorHAnsi"/>
          <w:b/>
          <w:bCs/>
          <w:color w:val="7030A0"/>
        </w:rPr>
        <w:t xml:space="preserve"> (pp. 247–260). De Boeck Supérieur. https://doi.org/10.3917/dbu.lecle.2021.01.0247</w:t>
      </w:r>
    </w:p>
    <w:p w14:paraId="25C86C25" w14:textId="5536C89C" w:rsidR="00675CDD" w:rsidRDefault="00675CDD" w:rsidP="00675CDD">
      <w:pPr>
        <w:ind w:left="360"/>
        <w:jc w:val="both"/>
        <w:rPr>
          <w:rFonts w:cstheme="minorHAnsi"/>
        </w:rPr>
      </w:pPr>
      <w:r>
        <w:rPr>
          <w:rFonts w:cstheme="minorHAnsi"/>
        </w:rPr>
        <w:fldChar w:fldCharType="end"/>
      </w:r>
    </w:p>
    <w:p w14:paraId="630A41E0" w14:textId="10A5BE6F" w:rsidR="00675CDD" w:rsidRPr="00675CDD" w:rsidRDefault="00675CDD" w:rsidP="00C62427">
      <w:pPr>
        <w:ind w:left="360"/>
        <w:jc w:val="both"/>
        <w:rPr>
          <w:rFonts w:asciiTheme="majorHAnsi" w:hAnsiTheme="majorHAnsi" w:cstheme="majorHAnsi"/>
          <w:i/>
          <w:iCs/>
          <w:color w:val="7030A0"/>
        </w:rPr>
      </w:pPr>
      <w:r w:rsidRPr="00675CDD">
        <w:rPr>
          <w:rFonts w:asciiTheme="majorHAnsi" w:hAnsiTheme="majorHAnsi" w:cstheme="majorHAnsi"/>
          <w:i/>
          <w:iCs/>
          <w:color w:val="7030A0"/>
        </w:rPr>
        <w:t>Lisez l’extrait du chapitre suivant et répondez aux questions :</w:t>
      </w:r>
    </w:p>
    <w:p w14:paraId="7BC4E234" w14:textId="36A065C4" w:rsidR="00675CDD" w:rsidRDefault="00675CDD" w:rsidP="00C62427">
      <w:pPr>
        <w:ind w:left="360"/>
        <w:jc w:val="both"/>
        <w:rPr>
          <w:rFonts w:cstheme="minorHAnsi"/>
        </w:rPr>
      </w:pPr>
    </w:p>
    <w:p w14:paraId="23B81FB5" w14:textId="36A16DD0" w:rsidR="00C62427" w:rsidRDefault="00C62427" w:rsidP="00C62427">
      <w:pPr>
        <w:ind w:left="360"/>
        <w:jc w:val="both"/>
        <w:rPr>
          <w:rFonts w:cstheme="minorHAnsi"/>
        </w:rPr>
      </w:pPr>
      <w:r w:rsidRPr="00C62427">
        <w:rPr>
          <w:rFonts w:cstheme="minorHAnsi"/>
        </w:rPr>
        <w:t xml:space="preserve">Plusieurs facteurs à l’origine des différences et/ou des ressemblances entre AL2 </w:t>
      </w:r>
      <w:r>
        <w:rPr>
          <w:rFonts w:cstheme="minorHAnsi"/>
        </w:rPr>
        <w:t xml:space="preserve">(acquisition d’une langue seconde) </w:t>
      </w:r>
      <w:r w:rsidRPr="00C62427">
        <w:rPr>
          <w:rFonts w:cstheme="minorHAnsi"/>
        </w:rPr>
        <w:t xml:space="preserve">et AL1 </w:t>
      </w:r>
      <w:r>
        <w:rPr>
          <w:rFonts w:cstheme="minorHAnsi"/>
        </w:rPr>
        <w:t xml:space="preserve">(acquisition d’une langue première) </w:t>
      </w:r>
      <w:r w:rsidRPr="00C62427">
        <w:rPr>
          <w:rFonts w:cstheme="minorHAnsi"/>
        </w:rPr>
        <w:t xml:space="preserve">sont à prendre en compte : (1) l’âge du début d’acquisition, (2) la nature des connaissances préalables, (3) les besoins et l’intention de communication, (4) la vitesse d’acquisition, (5) l’état final d’acquisition et (6) les étapes acquisitionnelles attestées. Passons en revue ces facteurs.  </w:t>
      </w:r>
    </w:p>
    <w:p w14:paraId="46366933" w14:textId="77777777" w:rsidR="00C62427" w:rsidRDefault="00C62427" w:rsidP="00C62427">
      <w:pPr>
        <w:ind w:left="360" w:firstLine="348"/>
        <w:jc w:val="both"/>
        <w:rPr>
          <w:rFonts w:cstheme="minorHAnsi"/>
        </w:rPr>
      </w:pPr>
      <w:r w:rsidRPr="00C62427">
        <w:rPr>
          <w:rFonts w:cstheme="minorHAnsi"/>
        </w:rPr>
        <w:t xml:space="preserve">(1) Peu de recherches contestent l’effet de l’âge sur l’acquisition qui conduit à une acquisition relativement rapide et réussie dans le cas de l’enfant apprenant sa langue maternelle et à une acquisition lente et laborieuse d’une nouvelle langue (L2) chez l’adulte. Néanmoins, les avis divergent en fonction des théories quant à la source de cette différence. Certains chercheurs attribuent cette différence à la maturation biologique, ce qui a donné lieu à l’hypothèse de la période critique. Ainsi, selon cette hypothèse, la puberté est la période après laquelle l’acquisition d’une langue change de nature et devient plus difficile. Cependant, les recherches plus récentes (Singleton, 2003) réexaminent cette hypothèse en mettant en évidence d’autres facteurs, au-delà de la maturation biologique. Ainsi, le degré de connaissance et/ou d’utilisation de la L1, l’expérience scolaire, la motivation, etc., pourraient jouer un rôle important.  </w:t>
      </w:r>
    </w:p>
    <w:p w14:paraId="6BF342C1" w14:textId="58EB1F73" w:rsidR="00C62427" w:rsidRDefault="00C62427" w:rsidP="00C62427">
      <w:pPr>
        <w:ind w:left="360" w:firstLine="348"/>
        <w:jc w:val="both"/>
        <w:rPr>
          <w:rFonts w:cstheme="minorHAnsi"/>
        </w:rPr>
      </w:pPr>
      <w:r w:rsidRPr="00C62427">
        <w:rPr>
          <w:rFonts w:cstheme="minorHAnsi"/>
        </w:rPr>
        <w:t xml:space="preserve">(2) En ce qui concerne les connaissances préalables, les approches fonctionnelles de tradition constructiviste postulent que l’acquisition de la L1 va de pair avec l’acquisition des concepts, des fonctions ainsi que des </w:t>
      </w:r>
      <w:r w:rsidRPr="00C62427">
        <w:rPr>
          <w:rFonts w:cstheme="minorHAnsi"/>
        </w:rPr>
        <w:t>normes socio</w:t>
      </w:r>
      <w:r w:rsidRPr="00C62427">
        <w:rPr>
          <w:rFonts w:cstheme="minorHAnsi"/>
        </w:rPr>
        <w:t xml:space="preserve">-culturelles. En revanche, un apprenant adulte d’une L2 dispose déjà d’une ou plusieurs langue(s) source(s) (sa L1 et/ou d’autres langues étrangères acquises) avec lesquelles il sait déjà communiquer, et d’un système de représentations cognitives (ou conceptuelles) bien établi. Ces connaissances lui permettent de construire des énoncés corrects en accord avec les normes en vigueur dans la langue choisie ainsi que de construire un discours cohérent (structuré de manière logique) et cohésif, en gérant de manière adéquate la référence aux domaines du temps, de l’espace et des entités. Cette compétence discursive se construit au fur et à mesure du développement cognitif (voir chapitres 11 et 12). En tant qu’individu faisant partie d’un groupe social, l’adulte en maîtrise également les normes socio-culturelles. L’ensemble de ces connaissances, si elles sont universelles, peut faciliter l’acquisition d’une nouvelle langue ou la rendre difficile lorsqu’elles divergent entre la L1 et une L2.  </w:t>
      </w:r>
    </w:p>
    <w:p w14:paraId="483198E6" w14:textId="77777777" w:rsidR="00C62427" w:rsidRDefault="00C62427" w:rsidP="00C62427">
      <w:pPr>
        <w:ind w:left="360" w:firstLine="348"/>
        <w:jc w:val="both"/>
        <w:rPr>
          <w:rFonts w:cstheme="minorHAnsi"/>
        </w:rPr>
      </w:pPr>
      <w:r w:rsidRPr="00C62427">
        <w:rPr>
          <w:rFonts w:cstheme="minorHAnsi"/>
        </w:rPr>
        <w:t xml:space="preserve">(3) Chez le jeune enfant, il y a le plus souvent adéquation entre les besoins de communication et les moyens linguistiques disponibles. L’enfant développe les moyens linguistiques dans sa L1 en fonction de ce qu’il doit communiquer à son entourage. Un apprenant adulte a très souvent des besoins de communication plus complexes et peut avoir des difficultés à les satisfaire à partir des moyens linguistiques dont il dispose en L2, tout particulièrement en début d’apprentissage. Ceci constitue un défi acquisitionnel important.  </w:t>
      </w:r>
    </w:p>
    <w:p w14:paraId="36BCAAE1" w14:textId="2F207AC5" w:rsidR="00C62427" w:rsidRDefault="00C62427" w:rsidP="00DA2AAE">
      <w:pPr>
        <w:ind w:left="360" w:firstLine="348"/>
        <w:jc w:val="both"/>
        <w:rPr>
          <w:rFonts w:cstheme="minorHAnsi"/>
        </w:rPr>
      </w:pPr>
      <w:r w:rsidRPr="00C62427">
        <w:rPr>
          <w:rFonts w:cstheme="minorHAnsi"/>
        </w:rPr>
        <w:t xml:space="preserve">(4) Nombreuses sont les recherches qui soutiennent que l’acquisition de la L1 est rapide. En effet, tout enfant normalement constitué qui ne souffre pas de pathologies </w:t>
      </w:r>
      <w:r w:rsidRPr="00C62427">
        <w:rPr>
          <w:rFonts w:cstheme="minorHAnsi"/>
        </w:rPr>
        <w:lastRenderedPageBreak/>
        <w:t xml:space="preserve">langagières est capable de produire des phrases complexes et correctement formées dans sa L1 à partir de trois ans. Un apprenant adulte même avancé produit des énoncés et des discours qui peuvent contenir des erreurs grammaticales (cf. </w:t>
      </w:r>
      <w:proofErr w:type="spellStart"/>
      <w:r w:rsidRPr="00C62427">
        <w:rPr>
          <w:rFonts w:cstheme="minorHAnsi"/>
        </w:rPr>
        <w:t>Bartning</w:t>
      </w:r>
      <w:proofErr w:type="spellEnd"/>
      <w:r w:rsidRPr="00C62427">
        <w:rPr>
          <w:rFonts w:cstheme="minorHAnsi"/>
        </w:rPr>
        <w:t xml:space="preserve">, 1997 ; </w:t>
      </w:r>
      <w:proofErr w:type="spellStart"/>
      <w:r w:rsidRPr="00C62427">
        <w:rPr>
          <w:rFonts w:cstheme="minorHAnsi"/>
        </w:rPr>
        <w:t>Bartning</w:t>
      </w:r>
      <w:proofErr w:type="spellEnd"/>
      <w:r w:rsidRPr="00C62427">
        <w:rPr>
          <w:rFonts w:cstheme="minorHAnsi"/>
        </w:rPr>
        <w:t xml:space="preserve"> &amp; </w:t>
      </w:r>
      <w:proofErr w:type="spellStart"/>
      <w:r w:rsidRPr="00C62427">
        <w:rPr>
          <w:rFonts w:cstheme="minorHAnsi"/>
        </w:rPr>
        <w:t>Schlyter</w:t>
      </w:r>
      <w:proofErr w:type="spellEnd"/>
      <w:r w:rsidRPr="00C62427">
        <w:rPr>
          <w:rFonts w:cstheme="minorHAnsi"/>
        </w:rPr>
        <w:t>, 2004). Cependant, la vitesse d’acquisition de la langue chez l’enfant est toute relative. Ainsi, selon Klein (1989), l’enfant consacre énormément de temps pour acquérir sa L1. C’est sa préoccupation principale car sans cette acquisition il ne peut pas entrer en relation avec son entourage ni devenir un individu à part entière. Un apprenant adulte lors de l’acquisition d’une L2 a d’autres occupations et son attention ne peut pas être toujours axée sur l’acquisition d’une nouvelle langue. Il y aurait donc ici une différence essentielle quant à la motivation à apprendre la langue, ce que Klein (1996, p. 249) formule de la façon suivante : « On pourrait dire que la motivation de l’adulte est de “comprendre les autres et se faire comprendre à des fins concrètes”, tandis que celle de l’enfant est de “devenir – avec peu de différences – comme les autres »</w:t>
      </w:r>
      <w:r>
        <w:rPr>
          <w:rFonts w:cstheme="minorHAnsi"/>
        </w:rPr>
        <w:t>.</w:t>
      </w:r>
      <w:r w:rsidRPr="00C62427">
        <w:rPr>
          <w:rFonts w:cstheme="minorHAnsi"/>
        </w:rPr>
        <w:t xml:space="preserve">  </w:t>
      </w:r>
    </w:p>
    <w:p w14:paraId="32FCE352" w14:textId="77777777" w:rsidR="00C62427" w:rsidRDefault="00C62427" w:rsidP="00C62427">
      <w:pPr>
        <w:ind w:left="360" w:firstLine="348"/>
        <w:jc w:val="both"/>
        <w:rPr>
          <w:rFonts w:cstheme="minorHAnsi"/>
        </w:rPr>
      </w:pPr>
      <w:r w:rsidRPr="00C62427">
        <w:rPr>
          <w:rFonts w:cstheme="minorHAnsi"/>
        </w:rPr>
        <w:t xml:space="preserve">(5) Le résultat du processus d’acquisition (dit état final d’acquisition) différencie clairement les deux types d’apprenants. Les enfants deviennent des locuteurs natifs de leur L1 tandis que des apprenants adultes restent le plus souvent reconnus comme non-natifs jusqu’à la fin de leur vie même s’ils sont continuellement exposés à la L2 et sont obligés de l’utiliser tous les jours. Notons tout de même que certaines études ont montré qu’il était parfois possible de maîtriser la L2 sans être reconnu comme un locuteur non natif. Dans son étude axée sur la prononciation en L2, </w:t>
      </w:r>
      <w:proofErr w:type="spellStart"/>
      <w:r w:rsidRPr="00C62427">
        <w:rPr>
          <w:rFonts w:cstheme="minorHAnsi"/>
        </w:rPr>
        <w:t>Birdsong</w:t>
      </w:r>
      <w:proofErr w:type="spellEnd"/>
      <w:r w:rsidRPr="00C62427">
        <w:rPr>
          <w:rFonts w:cstheme="minorHAnsi"/>
        </w:rPr>
        <w:t xml:space="preserve"> (2003) observe des productions d’apprenants adultes anglophones du français qui arrivent à passer pour des natifs du français même s’ils ont commencé l’acquisition aux alentours de 20 ans.  </w:t>
      </w:r>
    </w:p>
    <w:p w14:paraId="6FEEB985" w14:textId="64EEAA01" w:rsidR="00503E35" w:rsidRDefault="00C62427" w:rsidP="00C62427">
      <w:pPr>
        <w:ind w:left="360" w:firstLine="348"/>
        <w:jc w:val="both"/>
        <w:rPr>
          <w:rFonts w:cstheme="minorHAnsi"/>
        </w:rPr>
      </w:pPr>
      <w:r w:rsidRPr="00C62427">
        <w:rPr>
          <w:rFonts w:cstheme="minorHAnsi"/>
        </w:rPr>
        <w:t>(6) Enfin, certaines études cherchent quels sont les processus communs à l’acquisition initiale de la L1 par des enfants monolingues et de la L2 par des apprenants adultes débutants, en montrant que malgré une vitesse différente, les étapes de l’acquisition pourraient être comparables. Nous y reviendrons dans la section 3.2.</w:t>
      </w:r>
    </w:p>
    <w:p w14:paraId="5B4F75D7" w14:textId="77777777" w:rsidR="00675CDD" w:rsidRDefault="00675CDD" w:rsidP="00DA2AAE">
      <w:pPr>
        <w:jc w:val="both"/>
        <w:rPr>
          <w:rFonts w:cstheme="minorHAnsi"/>
        </w:rPr>
      </w:pPr>
    </w:p>
    <w:p w14:paraId="28585979" w14:textId="2E3EE85E" w:rsidR="00DA2AAE" w:rsidRDefault="00675CDD" w:rsidP="00DA2AAE">
      <w:pPr>
        <w:pStyle w:val="Paragraphedeliste"/>
        <w:numPr>
          <w:ilvl w:val="0"/>
          <w:numId w:val="3"/>
        </w:numPr>
        <w:jc w:val="both"/>
      </w:pPr>
      <w:r>
        <w:t>De quoi parle l’extrait du chapitre ?</w:t>
      </w:r>
    </w:p>
    <w:p w14:paraId="64EDF7C7" w14:textId="77777777" w:rsidR="00DA2AAE" w:rsidRDefault="00675CDD" w:rsidP="00DA2AAE">
      <w:pPr>
        <w:pStyle w:val="Paragraphedeliste"/>
        <w:numPr>
          <w:ilvl w:val="0"/>
          <w:numId w:val="3"/>
        </w:numPr>
        <w:jc w:val="both"/>
      </w:pPr>
      <w:r>
        <w:t>Comparez les explications de la différence AL1/AL2 fondées sur la maturation biologique avec celles intégrant des facteurs socio-cognitifs. En quoi ces approches sont-elles compatibles ou incompatibles ?</w:t>
      </w:r>
    </w:p>
    <w:p w14:paraId="1780C82F" w14:textId="77777777" w:rsidR="00DA2AAE" w:rsidRDefault="00675CDD" w:rsidP="00DA2AAE">
      <w:pPr>
        <w:pStyle w:val="Paragraphedeliste"/>
        <w:numPr>
          <w:ilvl w:val="0"/>
          <w:numId w:val="3"/>
        </w:numPr>
        <w:jc w:val="both"/>
      </w:pPr>
      <w:r>
        <w:t>Reformulez l’hypothèse de la période critique et discutez les arguments empiriques qui la remettent en question. Quelle est la portée réelle de cette hypothèse aujourd’hui ?</w:t>
      </w:r>
    </w:p>
    <w:p w14:paraId="463A49EF" w14:textId="77777777" w:rsidR="00DA2AAE" w:rsidRDefault="00675CDD" w:rsidP="00DA2AAE">
      <w:pPr>
        <w:pStyle w:val="Paragraphedeliste"/>
        <w:numPr>
          <w:ilvl w:val="0"/>
          <w:numId w:val="3"/>
        </w:numPr>
        <w:jc w:val="both"/>
      </w:pPr>
      <w:r>
        <w:t>En quoi les connaissances préalables de l’apprenant adulte constituent-elles à la fois un avantage et une contrainte dans l’acquisition d’une L2 ?</w:t>
      </w:r>
    </w:p>
    <w:p w14:paraId="2CAD8C8A" w14:textId="77777777" w:rsidR="00DA2AAE" w:rsidRDefault="00675CDD" w:rsidP="00DA2AAE">
      <w:pPr>
        <w:pStyle w:val="Paragraphedeliste"/>
        <w:numPr>
          <w:ilvl w:val="0"/>
          <w:numId w:val="3"/>
        </w:numPr>
        <w:jc w:val="both"/>
      </w:pPr>
      <w:r>
        <w:t>Analysez la citation de Klein : comment la différence de motivation entre enfant et adulte influence-t-elle les trajectoires acquisitionnelles ?</w:t>
      </w:r>
    </w:p>
    <w:p w14:paraId="45B2849E" w14:textId="77777777" w:rsidR="00DA2AAE" w:rsidRDefault="00DA2AAE" w:rsidP="00DA2AAE">
      <w:pPr>
        <w:pStyle w:val="Paragraphedeliste"/>
        <w:numPr>
          <w:ilvl w:val="0"/>
          <w:numId w:val="3"/>
        </w:numPr>
        <w:jc w:val="both"/>
      </w:pPr>
      <w:r>
        <w:t>Expliquez le décalage entre besoins communicatifs et moyens linguistiques chez l’adulte débutant. Quelles conséquences cela peut-il avoir sur la fossilisation ?</w:t>
      </w:r>
    </w:p>
    <w:p w14:paraId="472C6B9D" w14:textId="1D00E088" w:rsidR="00DA2AAE" w:rsidRDefault="00DA2AAE" w:rsidP="00DA2AAE">
      <w:pPr>
        <w:pStyle w:val="Paragraphedeliste"/>
        <w:numPr>
          <w:ilvl w:val="0"/>
          <w:numId w:val="3"/>
        </w:numPr>
        <w:jc w:val="both"/>
      </w:pPr>
      <w:r>
        <w:t>Comparez la notion de « vitesse d’acquisition » chez l’enfant et chez l’adulte. Pourquoi cette comparaison est-elle trompeuse selon le texte</w:t>
      </w:r>
      <w:r>
        <w:t> ?</w:t>
      </w:r>
    </w:p>
    <w:p w14:paraId="639E095B" w14:textId="317A012C" w:rsidR="00DA2AAE" w:rsidRPr="00DA2AAE" w:rsidRDefault="00DA2AAE" w:rsidP="00DA2AAE">
      <w:pPr>
        <w:pStyle w:val="Paragraphedeliste"/>
        <w:numPr>
          <w:ilvl w:val="0"/>
          <w:numId w:val="3"/>
        </w:numPr>
        <w:jc w:val="both"/>
      </w:pPr>
      <w:r>
        <w:t>Selon vous, quel facteur est le plus déterminant dans les différences AL1/AL2 ? Défendez votre position avec des arguments issus du texte et de vos connaissances.</w:t>
      </w:r>
    </w:p>
    <w:p w14:paraId="7E497ECC" w14:textId="77777777" w:rsidR="00744A60" w:rsidRPr="00503E35" w:rsidRDefault="00744A60" w:rsidP="00C62427">
      <w:pPr>
        <w:ind w:left="360" w:firstLine="348"/>
        <w:jc w:val="both"/>
        <w:rPr>
          <w:rFonts w:cstheme="minorHAnsi"/>
        </w:rPr>
      </w:pPr>
    </w:p>
    <w:sectPr w:rsidR="00744A60" w:rsidRPr="00503E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A397" w14:textId="77777777" w:rsidR="00DD5DBD" w:rsidRDefault="00DD5DBD" w:rsidP="00AC3317">
      <w:r>
        <w:separator/>
      </w:r>
    </w:p>
  </w:endnote>
  <w:endnote w:type="continuationSeparator" w:id="0">
    <w:p w14:paraId="79B04173" w14:textId="77777777" w:rsidR="00DD5DBD" w:rsidRDefault="00DD5DBD" w:rsidP="00AC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8FAB" w14:textId="7085635D" w:rsidR="00AC3317" w:rsidRPr="00AC3317" w:rsidRDefault="00AC3317" w:rsidP="00AC3317">
    <w:pPr>
      <w:pStyle w:val="Pieddepage"/>
      <w:jc w:val="center"/>
      <w:rPr>
        <w:rFonts w:asciiTheme="majorHAnsi" w:hAnsiTheme="majorHAnsi" w:cstheme="majorHAnsi"/>
        <w:color w:val="7030A0"/>
      </w:rPr>
    </w:pPr>
    <w:r w:rsidRPr="00AC3317">
      <w:rPr>
        <w:rFonts w:asciiTheme="majorHAnsi" w:hAnsiTheme="majorHAnsi" w:cstheme="majorHAnsi"/>
        <w:color w:val="7030A0"/>
      </w:rPr>
      <w:t>Inès Saddour – Maître de Conférences ines.saddour@univ-tlse2.fr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7ADC" w14:textId="77777777" w:rsidR="00DD5DBD" w:rsidRDefault="00DD5DBD" w:rsidP="00AC3317">
      <w:r>
        <w:separator/>
      </w:r>
    </w:p>
  </w:footnote>
  <w:footnote w:type="continuationSeparator" w:id="0">
    <w:p w14:paraId="4362991B" w14:textId="77777777" w:rsidR="00DD5DBD" w:rsidRDefault="00DD5DBD" w:rsidP="00AC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6A49" w14:textId="48BD1740" w:rsidR="00AC3317" w:rsidRPr="00AC3317" w:rsidRDefault="00AC3317" w:rsidP="00AC3317">
    <w:pPr>
      <w:pStyle w:val="En-tte"/>
      <w:jc w:val="center"/>
      <w:rPr>
        <w:rFonts w:asciiTheme="majorHAnsi" w:hAnsiTheme="majorHAnsi" w:cstheme="majorHAnsi"/>
        <w:b/>
        <w:bCs/>
        <w:color w:val="7030A0"/>
      </w:rPr>
    </w:pPr>
    <w:r>
      <w:rPr>
        <w:noProof/>
      </w:rPr>
      <w:drawing>
        <wp:inline distT="0" distB="0" distL="0" distR="0" wp14:anchorId="76D68CBC" wp14:editId="42F90B9F">
          <wp:extent cx="1183442" cy="295422"/>
          <wp:effectExtent l="0" t="0" r="0" b="0"/>
          <wp:docPr id="990630725" name="Image 1" descr="Earth Erasmu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th Erasmus+ Pro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037" cy="317538"/>
                  </a:xfrm>
                  <a:prstGeom prst="rect">
                    <a:avLst/>
                  </a:prstGeom>
                  <a:noFill/>
                  <a:ln>
                    <a:noFill/>
                  </a:ln>
                </pic:spPr>
              </pic:pic>
            </a:graphicData>
          </a:graphic>
        </wp:inline>
      </w:drawing>
    </w:r>
    <w:r w:rsidRPr="00AC3317">
      <w:rPr>
        <w:rFonts w:asciiTheme="majorHAnsi" w:hAnsiTheme="majorHAnsi" w:cstheme="majorHAnsi"/>
        <w:b/>
        <w:bCs/>
        <w:color w:val="7030A0"/>
      </w:rPr>
      <w:t>DEFLE - Programme Prépa-SHS – Sciences du Langage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840FE"/>
    <w:multiLevelType w:val="hybridMultilevel"/>
    <w:tmpl w:val="FE70B830"/>
    <w:lvl w:ilvl="0" w:tplc="A12CA098">
      <w:start w:val="1"/>
      <w:numFmt w:val="bullet"/>
      <w:lvlText w:val="Ø"/>
      <w:lvlJc w:val="left"/>
      <w:pPr>
        <w:tabs>
          <w:tab w:val="num" w:pos="720"/>
        </w:tabs>
        <w:ind w:left="720" w:hanging="360"/>
      </w:pPr>
      <w:rPr>
        <w:rFonts w:ascii="Wingdings" w:hAnsi="Wingdings" w:hint="default"/>
      </w:rPr>
    </w:lvl>
    <w:lvl w:ilvl="1" w:tplc="8AB26552" w:tentative="1">
      <w:start w:val="1"/>
      <w:numFmt w:val="bullet"/>
      <w:lvlText w:val="Ø"/>
      <w:lvlJc w:val="left"/>
      <w:pPr>
        <w:tabs>
          <w:tab w:val="num" w:pos="1440"/>
        </w:tabs>
        <w:ind w:left="1440" w:hanging="360"/>
      </w:pPr>
      <w:rPr>
        <w:rFonts w:ascii="Wingdings" w:hAnsi="Wingdings" w:hint="default"/>
      </w:rPr>
    </w:lvl>
    <w:lvl w:ilvl="2" w:tplc="6AEAF7A0" w:tentative="1">
      <w:start w:val="1"/>
      <w:numFmt w:val="bullet"/>
      <w:lvlText w:val="Ø"/>
      <w:lvlJc w:val="left"/>
      <w:pPr>
        <w:tabs>
          <w:tab w:val="num" w:pos="2160"/>
        </w:tabs>
        <w:ind w:left="2160" w:hanging="360"/>
      </w:pPr>
      <w:rPr>
        <w:rFonts w:ascii="Wingdings" w:hAnsi="Wingdings" w:hint="default"/>
      </w:rPr>
    </w:lvl>
    <w:lvl w:ilvl="3" w:tplc="65E8F092" w:tentative="1">
      <w:start w:val="1"/>
      <w:numFmt w:val="bullet"/>
      <w:lvlText w:val="Ø"/>
      <w:lvlJc w:val="left"/>
      <w:pPr>
        <w:tabs>
          <w:tab w:val="num" w:pos="2880"/>
        </w:tabs>
        <w:ind w:left="2880" w:hanging="360"/>
      </w:pPr>
      <w:rPr>
        <w:rFonts w:ascii="Wingdings" w:hAnsi="Wingdings" w:hint="default"/>
      </w:rPr>
    </w:lvl>
    <w:lvl w:ilvl="4" w:tplc="BA62B95C" w:tentative="1">
      <w:start w:val="1"/>
      <w:numFmt w:val="bullet"/>
      <w:lvlText w:val="Ø"/>
      <w:lvlJc w:val="left"/>
      <w:pPr>
        <w:tabs>
          <w:tab w:val="num" w:pos="3600"/>
        </w:tabs>
        <w:ind w:left="3600" w:hanging="360"/>
      </w:pPr>
      <w:rPr>
        <w:rFonts w:ascii="Wingdings" w:hAnsi="Wingdings" w:hint="default"/>
      </w:rPr>
    </w:lvl>
    <w:lvl w:ilvl="5" w:tplc="76088A18" w:tentative="1">
      <w:start w:val="1"/>
      <w:numFmt w:val="bullet"/>
      <w:lvlText w:val="Ø"/>
      <w:lvlJc w:val="left"/>
      <w:pPr>
        <w:tabs>
          <w:tab w:val="num" w:pos="4320"/>
        </w:tabs>
        <w:ind w:left="4320" w:hanging="360"/>
      </w:pPr>
      <w:rPr>
        <w:rFonts w:ascii="Wingdings" w:hAnsi="Wingdings" w:hint="default"/>
      </w:rPr>
    </w:lvl>
    <w:lvl w:ilvl="6" w:tplc="51523EFE" w:tentative="1">
      <w:start w:val="1"/>
      <w:numFmt w:val="bullet"/>
      <w:lvlText w:val="Ø"/>
      <w:lvlJc w:val="left"/>
      <w:pPr>
        <w:tabs>
          <w:tab w:val="num" w:pos="5040"/>
        </w:tabs>
        <w:ind w:left="5040" w:hanging="360"/>
      </w:pPr>
      <w:rPr>
        <w:rFonts w:ascii="Wingdings" w:hAnsi="Wingdings" w:hint="default"/>
      </w:rPr>
    </w:lvl>
    <w:lvl w:ilvl="7" w:tplc="FDFC56A4" w:tentative="1">
      <w:start w:val="1"/>
      <w:numFmt w:val="bullet"/>
      <w:lvlText w:val="Ø"/>
      <w:lvlJc w:val="left"/>
      <w:pPr>
        <w:tabs>
          <w:tab w:val="num" w:pos="5760"/>
        </w:tabs>
        <w:ind w:left="5760" w:hanging="360"/>
      </w:pPr>
      <w:rPr>
        <w:rFonts w:ascii="Wingdings" w:hAnsi="Wingdings" w:hint="default"/>
      </w:rPr>
    </w:lvl>
    <w:lvl w:ilvl="8" w:tplc="58DC80E2"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63E766CA"/>
    <w:multiLevelType w:val="hybridMultilevel"/>
    <w:tmpl w:val="F814DA36"/>
    <w:lvl w:ilvl="0" w:tplc="928A260C">
      <w:numFmt w:val="bullet"/>
      <w:lvlText w:val="-"/>
      <w:lvlJc w:val="left"/>
      <w:pPr>
        <w:ind w:left="720" w:hanging="360"/>
      </w:pPr>
      <w:rPr>
        <w:rFonts w:ascii="Times" w:eastAsia="Cambria" w:hAnsi="Times" w:cstheme="minorHAnsi" w:hint="default"/>
        <w:b/>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BA7149"/>
    <w:multiLevelType w:val="hybridMultilevel"/>
    <w:tmpl w:val="7A1E51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1568646">
    <w:abstractNumId w:val="1"/>
  </w:num>
  <w:num w:numId="2" w16cid:durableId="62064589">
    <w:abstractNumId w:val="0"/>
  </w:num>
  <w:num w:numId="3" w16cid:durableId="35265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A3"/>
    <w:rsid w:val="00005235"/>
    <w:rsid w:val="0001561C"/>
    <w:rsid w:val="0009606B"/>
    <w:rsid w:val="0013226C"/>
    <w:rsid w:val="00144259"/>
    <w:rsid w:val="00184086"/>
    <w:rsid w:val="00191D73"/>
    <w:rsid w:val="00320C02"/>
    <w:rsid w:val="003405E0"/>
    <w:rsid w:val="00431B45"/>
    <w:rsid w:val="0044337C"/>
    <w:rsid w:val="004441C2"/>
    <w:rsid w:val="0045633C"/>
    <w:rsid w:val="004E0212"/>
    <w:rsid w:val="00503E35"/>
    <w:rsid w:val="005336A3"/>
    <w:rsid w:val="006355BB"/>
    <w:rsid w:val="00675CDD"/>
    <w:rsid w:val="006936B7"/>
    <w:rsid w:val="006D3C82"/>
    <w:rsid w:val="00744A60"/>
    <w:rsid w:val="007507C5"/>
    <w:rsid w:val="007858BD"/>
    <w:rsid w:val="007E7DF3"/>
    <w:rsid w:val="008A2237"/>
    <w:rsid w:val="008E64BD"/>
    <w:rsid w:val="009B25DD"/>
    <w:rsid w:val="009F3C4B"/>
    <w:rsid w:val="00AC1D78"/>
    <w:rsid w:val="00AC3317"/>
    <w:rsid w:val="00AD0EB3"/>
    <w:rsid w:val="00C62427"/>
    <w:rsid w:val="00C71FB2"/>
    <w:rsid w:val="00C80A0E"/>
    <w:rsid w:val="00C848AD"/>
    <w:rsid w:val="00C86064"/>
    <w:rsid w:val="00CD642E"/>
    <w:rsid w:val="00DA2AAE"/>
    <w:rsid w:val="00DD5DBD"/>
    <w:rsid w:val="00DF0659"/>
    <w:rsid w:val="00E20FE4"/>
    <w:rsid w:val="00F011DD"/>
    <w:rsid w:val="00F73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18E3"/>
  <w15:chartTrackingRefBased/>
  <w15:docId w15:val="{B8617467-B9F9-3A46-BDA0-FA8C4E29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3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33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36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36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36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36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36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36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36A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6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336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36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36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36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36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36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36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36A3"/>
    <w:rPr>
      <w:rFonts w:eastAsiaTheme="majorEastAsia" w:cstheme="majorBidi"/>
      <w:color w:val="272727" w:themeColor="text1" w:themeTint="D8"/>
    </w:rPr>
  </w:style>
  <w:style w:type="paragraph" w:styleId="Titre">
    <w:name w:val="Title"/>
    <w:basedOn w:val="Normal"/>
    <w:next w:val="Normal"/>
    <w:link w:val="TitreCar"/>
    <w:uiPriority w:val="10"/>
    <w:qFormat/>
    <w:rsid w:val="005336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36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36A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36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36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336A3"/>
    <w:rPr>
      <w:i/>
      <w:iCs/>
      <w:color w:val="404040" w:themeColor="text1" w:themeTint="BF"/>
    </w:rPr>
  </w:style>
  <w:style w:type="paragraph" w:styleId="Paragraphedeliste">
    <w:name w:val="List Paragraph"/>
    <w:basedOn w:val="Normal"/>
    <w:uiPriority w:val="34"/>
    <w:qFormat/>
    <w:rsid w:val="005336A3"/>
    <w:pPr>
      <w:ind w:left="720"/>
      <w:contextualSpacing/>
    </w:pPr>
  </w:style>
  <w:style w:type="character" w:styleId="Accentuationintense">
    <w:name w:val="Intense Emphasis"/>
    <w:basedOn w:val="Policepardfaut"/>
    <w:uiPriority w:val="21"/>
    <w:qFormat/>
    <w:rsid w:val="005336A3"/>
    <w:rPr>
      <w:i/>
      <w:iCs/>
      <w:color w:val="2F5496" w:themeColor="accent1" w:themeShade="BF"/>
    </w:rPr>
  </w:style>
  <w:style w:type="paragraph" w:styleId="Citationintense">
    <w:name w:val="Intense Quote"/>
    <w:basedOn w:val="Normal"/>
    <w:next w:val="Normal"/>
    <w:link w:val="CitationintenseCar"/>
    <w:uiPriority w:val="30"/>
    <w:qFormat/>
    <w:rsid w:val="00533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36A3"/>
    <w:rPr>
      <w:i/>
      <w:iCs/>
      <w:color w:val="2F5496" w:themeColor="accent1" w:themeShade="BF"/>
    </w:rPr>
  </w:style>
  <w:style w:type="character" w:styleId="Rfrenceintense">
    <w:name w:val="Intense Reference"/>
    <w:basedOn w:val="Policepardfaut"/>
    <w:uiPriority w:val="32"/>
    <w:qFormat/>
    <w:rsid w:val="005336A3"/>
    <w:rPr>
      <w:b/>
      <w:bCs/>
      <w:smallCaps/>
      <w:color w:val="2F5496" w:themeColor="accent1" w:themeShade="BF"/>
      <w:spacing w:val="5"/>
    </w:rPr>
  </w:style>
  <w:style w:type="paragraph" w:styleId="NormalWeb">
    <w:name w:val="Normal (Web)"/>
    <w:basedOn w:val="Normal"/>
    <w:uiPriority w:val="99"/>
    <w:semiHidden/>
    <w:unhideWhenUsed/>
    <w:rsid w:val="005336A3"/>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c-lightest">
    <w:name w:val="c-lightest"/>
    <w:basedOn w:val="Normal"/>
    <w:rsid w:val="005336A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5336A3"/>
    <w:rPr>
      <w:color w:val="0000FF"/>
      <w:u w:val="single"/>
    </w:rPr>
  </w:style>
  <w:style w:type="character" w:customStyle="1" w:styleId="meta-publish-date">
    <w:name w:val="meta-publish-date"/>
    <w:basedOn w:val="Policepardfaut"/>
    <w:rsid w:val="005336A3"/>
  </w:style>
  <w:style w:type="paragraph" w:customStyle="1" w:styleId="Sous-titre1">
    <w:name w:val="Sous-titre1"/>
    <w:basedOn w:val="Normal"/>
    <w:rsid w:val="005336A3"/>
    <w:pPr>
      <w:spacing w:before="100" w:beforeAutospacing="1" w:after="100" w:afterAutospacing="1"/>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AC3317"/>
    <w:rPr>
      <w:i/>
      <w:iCs/>
    </w:rPr>
  </w:style>
  <w:style w:type="paragraph" w:styleId="En-tte">
    <w:name w:val="header"/>
    <w:basedOn w:val="Normal"/>
    <w:link w:val="En-tteCar"/>
    <w:uiPriority w:val="99"/>
    <w:unhideWhenUsed/>
    <w:rsid w:val="00AC3317"/>
    <w:pPr>
      <w:tabs>
        <w:tab w:val="center" w:pos="4536"/>
        <w:tab w:val="right" w:pos="9072"/>
      </w:tabs>
    </w:pPr>
  </w:style>
  <w:style w:type="character" w:customStyle="1" w:styleId="En-tteCar">
    <w:name w:val="En-tête Car"/>
    <w:basedOn w:val="Policepardfaut"/>
    <w:link w:val="En-tte"/>
    <w:uiPriority w:val="99"/>
    <w:rsid w:val="00AC3317"/>
  </w:style>
  <w:style w:type="paragraph" w:styleId="Pieddepage">
    <w:name w:val="footer"/>
    <w:basedOn w:val="Normal"/>
    <w:link w:val="PieddepageCar"/>
    <w:uiPriority w:val="99"/>
    <w:unhideWhenUsed/>
    <w:rsid w:val="00AC3317"/>
    <w:pPr>
      <w:tabs>
        <w:tab w:val="center" w:pos="4536"/>
        <w:tab w:val="right" w:pos="9072"/>
      </w:tabs>
    </w:pPr>
  </w:style>
  <w:style w:type="character" w:customStyle="1" w:styleId="PieddepageCar">
    <w:name w:val="Pied de page Car"/>
    <w:basedOn w:val="Policepardfaut"/>
    <w:link w:val="Pieddepage"/>
    <w:uiPriority w:val="99"/>
    <w:rsid w:val="00AC3317"/>
  </w:style>
  <w:style w:type="character" w:styleId="Mentionnonrsolue">
    <w:name w:val="Unresolved Mention"/>
    <w:basedOn w:val="Policepardfaut"/>
    <w:uiPriority w:val="99"/>
    <w:semiHidden/>
    <w:unhideWhenUsed/>
    <w:rsid w:val="00503E35"/>
    <w:rPr>
      <w:color w:val="605E5C"/>
      <w:shd w:val="clear" w:color="auto" w:fill="E1DFDD"/>
    </w:rPr>
  </w:style>
  <w:style w:type="character" w:styleId="Lienhypertextesuivivisit">
    <w:name w:val="FollowedHyperlink"/>
    <w:basedOn w:val="Policepardfaut"/>
    <w:uiPriority w:val="99"/>
    <w:semiHidden/>
    <w:unhideWhenUsed/>
    <w:rsid w:val="00503E35"/>
    <w:rPr>
      <w:color w:val="954F72" w:themeColor="followedHyperlink"/>
      <w:u w:val="single"/>
    </w:rPr>
  </w:style>
  <w:style w:type="character" w:customStyle="1" w:styleId="qg-tx5">
    <w:name w:val="qg-tx5"/>
    <w:basedOn w:val="Policepardfaut"/>
    <w:rsid w:val="00503E35"/>
  </w:style>
  <w:style w:type="paragraph" w:styleId="Bibliographie">
    <w:name w:val="Bibliography"/>
    <w:basedOn w:val="Normal"/>
    <w:next w:val="Normal"/>
    <w:uiPriority w:val="37"/>
    <w:unhideWhenUsed/>
    <w:rsid w:val="00675CDD"/>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1089</Words>
  <Characters>5994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Inès Saddour</dc:creator>
  <cp:keywords/>
  <dc:description/>
  <cp:lastModifiedBy>Inès Saddour</cp:lastModifiedBy>
  <cp:revision>2</cp:revision>
  <dcterms:created xsi:type="dcterms:W3CDTF">2026-04-07T15:22:00Z</dcterms:created>
  <dcterms:modified xsi:type="dcterms:W3CDTF">2026-04-07T15:22:00Z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id="ZCkFyMhX"/&gt;&lt;style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