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BD" w:rsidRPr="00B236F5" w:rsidRDefault="00B236F5" w:rsidP="00B236F5">
      <w:pPr>
        <w:pStyle w:val="Sansinterligne"/>
        <w:jc w:val="center"/>
        <w:rPr>
          <w:b/>
          <w:sz w:val="28"/>
          <w:szCs w:val="28"/>
        </w:rPr>
      </w:pPr>
      <w:r w:rsidRPr="00B236F5">
        <w:rPr>
          <w:b/>
          <w:sz w:val="28"/>
          <w:szCs w:val="28"/>
        </w:rPr>
        <w:t>Séance 2</w:t>
      </w:r>
    </w:p>
    <w:p w:rsidR="00B236F5" w:rsidRDefault="00B236F5" w:rsidP="00B236F5">
      <w:pPr>
        <w:pStyle w:val="Sansinterligne"/>
        <w:jc w:val="center"/>
        <w:rPr>
          <w:b/>
          <w:sz w:val="28"/>
          <w:szCs w:val="28"/>
        </w:rPr>
      </w:pPr>
      <w:r w:rsidRPr="00B236F5">
        <w:rPr>
          <w:b/>
          <w:sz w:val="28"/>
          <w:szCs w:val="28"/>
        </w:rPr>
        <w:t>Fiche de lecture : « Le langage est-il naturel ? »</w:t>
      </w:r>
    </w:p>
    <w:p w:rsidR="00B236F5" w:rsidRDefault="00B236F5" w:rsidP="00B236F5">
      <w:pPr>
        <w:pStyle w:val="Sansinterligne"/>
        <w:rPr>
          <w:sz w:val="24"/>
          <w:szCs w:val="24"/>
        </w:rPr>
      </w:pPr>
    </w:p>
    <w:p w:rsidR="00B236F5" w:rsidRDefault="00B236F5" w:rsidP="00B236F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Pourquoi l’auteur dit-il que le langage est un système de symboles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28" w:rsidTr="001F4A28">
        <w:trPr>
          <w:trHeight w:val="1279"/>
        </w:trPr>
        <w:tc>
          <w:tcPr>
            <w:tcW w:w="9062" w:type="dxa"/>
          </w:tcPr>
          <w:p w:rsidR="001F4A28" w:rsidRDefault="001F4A28" w:rsidP="001F4A2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1F4A28" w:rsidRDefault="001F4A28" w:rsidP="001F4A28">
      <w:pPr>
        <w:pStyle w:val="Sansinterligne"/>
        <w:rPr>
          <w:sz w:val="24"/>
          <w:szCs w:val="24"/>
        </w:rPr>
      </w:pPr>
    </w:p>
    <w:p w:rsidR="00B236F5" w:rsidRDefault="00B236F5" w:rsidP="00B236F5">
      <w:pPr>
        <w:pStyle w:val="Sansinterligne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1F4A28">
        <w:rPr>
          <w:color w:val="000000" w:themeColor="text1"/>
          <w:sz w:val="24"/>
          <w:szCs w:val="24"/>
        </w:rPr>
        <w:t>Qu’est-ce que le caractère intentionnel du langage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28" w:rsidTr="00993E88">
        <w:trPr>
          <w:trHeight w:val="1362"/>
        </w:trPr>
        <w:tc>
          <w:tcPr>
            <w:tcW w:w="9062" w:type="dxa"/>
          </w:tcPr>
          <w:p w:rsidR="001F4A28" w:rsidRDefault="001F4A28" w:rsidP="001F4A28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4A28" w:rsidRPr="001F4A28" w:rsidRDefault="001F4A28" w:rsidP="001F4A28">
      <w:pPr>
        <w:pStyle w:val="Sansinterligne"/>
        <w:rPr>
          <w:color w:val="000000" w:themeColor="text1"/>
          <w:sz w:val="24"/>
          <w:szCs w:val="24"/>
        </w:rPr>
      </w:pPr>
    </w:p>
    <w:p w:rsidR="00B236F5" w:rsidRDefault="001F4A28" w:rsidP="00B236F5">
      <w:pPr>
        <w:pStyle w:val="Sansinterligne"/>
        <w:numPr>
          <w:ilvl w:val="0"/>
          <w:numId w:val="2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Comment était vue </w:t>
      </w:r>
      <w:r w:rsidR="00B236F5" w:rsidRPr="001F4A28">
        <w:rPr>
          <w:color w:val="000000" w:themeColor="text1"/>
          <w:sz w:val="24"/>
          <w:szCs w:val="24"/>
        </w:rPr>
        <w:t>l’acquisition du langage au début du XXe siècle </w:t>
      </w:r>
      <w:r w:rsidR="004D5CA7">
        <w:rPr>
          <w:color w:val="000000" w:themeColor="text1"/>
          <w:sz w:val="24"/>
          <w:szCs w:val="24"/>
        </w:rPr>
        <w:t>et jusqu’aux années 50</w:t>
      </w:r>
      <w:r w:rsidR="00B236F5" w:rsidRPr="001F4A28">
        <w:rPr>
          <w:color w:val="000000" w:themeColor="text1"/>
          <w:sz w:val="24"/>
          <w:szCs w:val="24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28" w:rsidTr="001F4A28">
        <w:trPr>
          <w:trHeight w:val="2656"/>
        </w:trPr>
        <w:tc>
          <w:tcPr>
            <w:tcW w:w="9062" w:type="dxa"/>
          </w:tcPr>
          <w:p w:rsidR="001F4A28" w:rsidRDefault="001F4A28" w:rsidP="001F4A28">
            <w:pPr>
              <w:pStyle w:val="Sansinterligne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F4A28" w:rsidRPr="001F4A28" w:rsidRDefault="001F4A28" w:rsidP="001F4A28">
      <w:pPr>
        <w:pStyle w:val="Sansinterligne"/>
        <w:rPr>
          <w:color w:val="000000" w:themeColor="text1"/>
          <w:sz w:val="24"/>
          <w:szCs w:val="24"/>
        </w:rPr>
      </w:pPr>
    </w:p>
    <w:p w:rsidR="00B236F5" w:rsidRDefault="00B236F5" w:rsidP="00B236F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Comme est vu</w:t>
      </w:r>
      <w:r w:rsidR="001F4A28">
        <w:rPr>
          <w:sz w:val="24"/>
          <w:szCs w:val="24"/>
        </w:rPr>
        <w:t>e</w:t>
      </w:r>
      <w:r>
        <w:rPr>
          <w:sz w:val="24"/>
          <w:szCs w:val="24"/>
        </w:rPr>
        <w:t xml:space="preserve"> l’acquisition du langage depuis les années 60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28" w:rsidTr="001F4A28">
        <w:trPr>
          <w:trHeight w:val="2390"/>
        </w:trPr>
        <w:tc>
          <w:tcPr>
            <w:tcW w:w="9062" w:type="dxa"/>
          </w:tcPr>
          <w:p w:rsidR="001F4A28" w:rsidRDefault="001F4A28" w:rsidP="001F4A2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1F4A28" w:rsidRDefault="001F4A28" w:rsidP="001F4A28">
      <w:pPr>
        <w:pStyle w:val="Sansinterligne"/>
        <w:rPr>
          <w:sz w:val="24"/>
          <w:szCs w:val="24"/>
        </w:rPr>
      </w:pPr>
    </w:p>
    <w:p w:rsidR="00B236F5" w:rsidRDefault="00B236F5" w:rsidP="00B236F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Quelles sont les différences entre le langage humain et les autres types de langage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28" w:rsidTr="001F4A28">
        <w:trPr>
          <w:trHeight w:val="1938"/>
        </w:trPr>
        <w:tc>
          <w:tcPr>
            <w:tcW w:w="9062" w:type="dxa"/>
          </w:tcPr>
          <w:p w:rsidR="001F4A28" w:rsidRDefault="001F4A28" w:rsidP="001F4A2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1F4A28" w:rsidRDefault="001F4A28" w:rsidP="001F4A28">
      <w:pPr>
        <w:pStyle w:val="Sansinterligne"/>
        <w:rPr>
          <w:sz w:val="24"/>
          <w:szCs w:val="24"/>
        </w:rPr>
      </w:pPr>
    </w:p>
    <w:p w:rsidR="001F4A28" w:rsidRDefault="001F4A28" w:rsidP="001F4A28">
      <w:pPr>
        <w:pStyle w:val="Sansinterligne"/>
        <w:rPr>
          <w:sz w:val="24"/>
          <w:szCs w:val="24"/>
        </w:rPr>
      </w:pPr>
    </w:p>
    <w:p w:rsidR="001F4A28" w:rsidRDefault="001F4A28" w:rsidP="001F4A28">
      <w:pPr>
        <w:pStyle w:val="Sansinterligne"/>
        <w:rPr>
          <w:sz w:val="24"/>
          <w:szCs w:val="24"/>
        </w:rPr>
      </w:pPr>
    </w:p>
    <w:p w:rsidR="00B236F5" w:rsidRDefault="00B236F5" w:rsidP="00B236F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Quels sont les deux volets de la thèse défendue par N. Chomsky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28" w:rsidTr="00993E88">
        <w:trPr>
          <w:trHeight w:val="1514"/>
        </w:trPr>
        <w:tc>
          <w:tcPr>
            <w:tcW w:w="9062" w:type="dxa"/>
          </w:tcPr>
          <w:p w:rsidR="001F4A28" w:rsidRDefault="001F4A28" w:rsidP="001F4A2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1F4A28" w:rsidRDefault="001F4A28" w:rsidP="001F4A28">
      <w:pPr>
        <w:pStyle w:val="Sansinterligne"/>
        <w:rPr>
          <w:sz w:val="24"/>
          <w:szCs w:val="24"/>
        </w:rPr>
      </w:pPr>
    </w:p>
    <w:p w:rsidR="00B236F5" w:rsidRDefault="00B236F5" w:rsidP="00B236F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Qu’est-ce que l’argument de la « pauvreté du stimulus »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28" w:rsidTr="004D5CA7">
        <w:trPr>
          <w:trHeight w:val="2238"/>
        </w:trPr>
        <w:tc>
          <w:tcPr>
            <w:tcW w:w="9062" w:type="dxa"/>
          </w:tcPr>
          <w:p w:rsidR="001F4A28" w:rsidRDefault="001F4A28" w:rsidP="001F4A2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1F4A28" w:rsidRDefault="001F4A28">
      <w:pPr>
        <w:rPr>
          <w:sz w:val="24"/>
          <w:szCs w:val="24"/>
        </w:rPr>
      </w:pPr>
      <w:bookmarkStart w:id="0" w:name="_GoBack"/>
      <w:bookmarkEnd w:id="0"/>
    </w:p>
    <w:p w:rsidR="00B236F5" w:rsidRDefault="004D12AD" w:rsidP="00B236F5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Qu’est-ce que les nouveau-nés sont capable de reconnaître à la naissance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28" w:rsidTr="00993E88">
        <w:trPr>
          <w:trHeight w:val="1393"/>
        </w:trPr>
        <w:tc>
          <w:tcPr>
            <w:tcW w:w="9062" w:type="dxa"/>
          </w:tcPr>
          <w:p w:rsidR="001F4A28" w:rsidRDefault="001F4A28" w:rsidP="001F4A2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1F4A28" w:rsidRDefault="001F4A28" w:rsidP="001F4A28">
      <w:pPr>
        <w:pStyle w:val="Sansinterligne"/>
        <w:rPr>
          <w:sz w:val="24"/>
          <w:szCs w:val="24"/>
        </w:rPr>
      </w:pPr>
    </w:p>
    <w:p w:rsidR="00B236F5" w:rsidRDefault="00B236F5" w:rsidP="004D12AD">
      <w:pPr>
        <w:pStyle w:val="Sansinterlign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Qu’est-ce que la « grammaire universelle »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4A28" w:rsidTr="001F4A28">
        <w:trPr>
          <w:trHeight w:val="2796"/>
        </w:trPr>
        <w:tc>
          <w:tcPr>
            <w:tcW w:w="9062" w:type="dxa"/>
          </w:tcPr>
          <w:p w:rsidR="001F4A28" w:rsidRDefault="001F4A28" w:rsidP="001F4A28">
            <w:pPr>
              <w:pStyle w:val="Sansinterligne"/>
              <w:rPr>
                <w:sz w:val="24"/>
                <w:szCs w:val="24"/>
              </w:rPr>
            </w:pPr>
          </w:p>
        </w:tc>
      </w:tr>
    </w:tbl>
    <w:p w:rsidR="001F4A28" w:rsidRPr="004D12AD" w:rsidRDefault="001F4A28" w:rsidP="001F4A28">
      <w:pPr>
        <w:pStyle w:val="Sansinterligne"/>
        <w:rPr>
          <w:sz w:val="24"/>
          <w:szCs w:val="24"/>
        </w:rPr>
      </w:pPr>
    </w:p>
    <w:p w:rsidR="00B236F5" w:rsidRPr="00B236F5" w:rsidRDefault="00B236F5" w:rsidP="00B236F5">
      <w:pPr>
        <w:pStyle w:val="Sansinterligne"/>
        <w:rPr>
          <w:sz w:val="24"/>
          <w:szCs w:val="24"/>
        </w:rPr>
      </w:pPr>
    </w:p>
    <w:sectPr w:rsidR="00B236F5" w:rsidRPr="00B236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CC3" w:rsidRDefault="00AC0CC3" w:rsidP="00B236F5">
      <w:pPr>
        <w:spacing w:after="0" w:line="240" w:lineRule="auto"/>
      </w:pPr>
      <w:r>
        <w:separator/>
      </w:r>
    </w:p>
  </w:endnote>
  <w:endnote w:type="continuationSeparator" w:id="0">
    <w:p w:rsidR="00AC0CC3" w:rsidRDefault="00AC0CC3" w:rsidP="00B2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CC3" w:rsidRDefault="00AC0CC3" w:rsidP="00B236F5">
      <w:pPr>
        <w:spacing w:after="0" w:line="240" w:lineRule="auto"/>
      </w:pPr>
      <w:r>
        <w:separator/>
      </w:r>
    </w:p>
  </w:footnote>
  <w:footnote w:type="continuationSeparator" w:id="0">
    <w:p w:rsidR="00AC0CC3" w:rsidRDefault="00AC0CC3" w:rsidP="00B2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F5" w:rsidRDefault="00B236F5">
    <w:pPr>
      <w:pStyle w:val="En-tte"/>
    </w:pPr>
    <w:r>
      <w:t>Introduction aux sciences du langage</w:t>
    </w:r>
  </w:p>
  <w:p w:rsidR="00B236F5" w:rsidRDefault="00993E88">
    <w:pPr>
      <w:pStyle w:val="En-tte"/>
    </w:pPr>
    <w:r>
      <w:t>26</w:t>
    </w:r>
    <w:r w:rsidR="00B236F5">
      <w:t>-01-2022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922FA"/>
    <w:multiLevelType w:val="hybridMultilevel"/>
    <w:tmpl w:val="F078B3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B6D73"/>
    <w:multiLevelType w:val="hybridMultilevel"/>
    <w:tmpl w:val="BF0E0972"/>
    <w:lvl w:ilvl="0" w:tplc="E27AE16E">
      <w:start w:val="1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F5"/>
    <w:rsid w:val="001F4A28"/>
    <w:rsid w:val="004010BD"/>
    <w:rsid w:val="004D12AD"/>
    <w:rsid w:val="004D5CA7"/>
    <w:rsid w:val="008C6B5C"/>
    <w:rsid w:val="00993E88"/>
    <w:rsid w:val="00AC0CC3"/>
    <w:rsid w:val="00B236F5"/>
    <w:rsid w:val="00B736F8"/>
    <w:rsid w:val="00BA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9248A"/>
  <w15:chartTrackingRefBased/>
  <w15:docId w15:val="{6BE4E398-58C2-4D34-BE39-ABC12A24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36F5"/>
  </w:style>
  <w:style w:type="paragraph" w:styleId="Pieddepage">
    <w:name w:val="footer"/>
    <w:basedOn w:val="Normal"/>
    <w:link w:val="PieddepageCar"/>
    <w:uiPriority w:val="99"/>
    <w:unhideWhenUsed/>
    <w:rsid w:val="00B23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36F5"/>
  </w:style>
  <w:style w:type="paragraph" w:styleId="Sansinterligne">
    <w:name w:val="No Spacing"/>
    <w:uiPriority w:val="1"/>
    <w:qFormat/>
    <w:rsid w:val="00B236F5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F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mireille.copin</dc:creator>
  <cp:keywords/>
  <dc:description/>
  <cp:lastModifiedBy>mireille.copin</cp:lastModifiedBy>
  <cp:revision>4</cp:revision>
  <dcterms:created xsi:type="dcterms:W3CDTF">2022-01-18T14:03:00Z</dcterms:created>
  <dcterms:modified xsi:type="dcterms:W3CDTF">2023-02-07T16:03:00Z</dcterms:modified>
</cp:coreProperties>
</file>