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60"/>
      </w:tblGrid>
      <w:tr w:rsidR="0007712E" w14:paraId="1152E902" w14:textId="77777777" w:rsidTr="00972A51">
        <w:tc>
          <w:tcPr>
            <w:tcW w:w="9062" w:type="dxa"/>
          </w:tcPr>
          <w:p w14:paraId="363E9D79" w14:textId="77777777" w:rsidR="0007712E" w:rsidRDefault="0007712E" w:rsidP="00972A51">
            <w:pPr>
              <w:jc w:val="center"/>
            </w:pPr>
            <w:r>
              <w:t>Université Jean Jaurès Toulouse</w:t>
            </w:r>
          </w:p>
          <w:p w14:paraId="1B2BF510" w14:textId="77777777" w:rsidR="0007712E" w:rsidRDefault="0007712E" w:rsidP="00972A51">
            <w:pPr>
              <w:jc w:val="center"/>
            </w:pPr>
            <w:r>
              <w:t xml:space="preserve">Département DEFLE </w:t>
            </w:r>
          </w:p>
          <w:p w14:paraId="006532F2" w14:textId="77777777" w:rsidR="0007712E" w:rsidRDefault="0007712E" w:rsidP="00972A51">
            <w:pPr>
              <w:jc w:val="center"/>
            </w:pPr>
            <w:r>
              <w:t>Programme SHS – Sylvie Masson</w:t>
            </w:r>
          </w:p>
          <w:p w14:paraId="45601002" w14:textId="77777777" w:rsidR="0007712E" w:rsidRDefault="0007712E" w:rsidP="00972A51">
            <w:pPr>
              <w:jc w:val="center"/>
            </w:pPr>
            <w:r>
              <w:t>Semestre 1 2023-2024</w:t>
            </w:r>
          </w:p>
        </w:tc>
      </w:tr>
    </w:tbl>
    <w:p w14:paraId="34C1B025" w14:textId="77777777" w:rsidR="0007712E" w:rsidRDefault="0007712E" w:rsidP="0007712E"/>
    <w:p w14:paraId="058F3AAF" w14:textId="77777777" w:rsidR="0007712E" w:rsidRDefault="0007712E" w:rsidP="0007712E"/>
    <w:p w14:paraId="62CB0ABD" w14:textId="2BD672D5" w:rsidR="0007712E" w:rsidRPr="00837AEE" w:rsidRDefault="0007712E" w:rsidP="0007712E">
      <w:pPr>
        <w:jc w:val="center"/>
        <w:rPr>
          <w:sz w:val="32"/>
          <w:szCs w:val="32"/>
          <w:vertAlign w:val="superscript"/>
        </w:rPr>
      </w:pPr>
      <w:r w:rsidRPr="00837AEE">
        <w:rPr>
          <w:sz w:val="32"/>
          <w:szCs w:val="32"/>
          <w:vertAlign w:val="superscript"/>
        </w:rPr>
        <w:t>Le monde de l’entreprise (</w:t>
      </w:r>
      <w:r w:rsidR="00837AEE" w:rsidRPr="00837AEE">
        <w:rPr>
          <w:sz w:val="32"/>
          <w:szCs w:val="32"/>
          <w:vertAlign w:val="superscript"/>
        </w:rPr>
        <w:t>4</w:t>
      </w:r>
      <w:r w:rsidRPr="00837AEE">
        <w:rPr>
          <w:sz w:val="32"/>
          <w:szCs w:val="32"/>
          <w:vertAlign w:val="superscript"/>
        </w:rPr>
        <w:t>)</w:t>
      </w:r>
    </w:p>
    <w:p w14:paraId="2267D339" w14:textId="4FA40D0B" w:rsidR="00125EB3" w:rsidRDefault="00000000"/>
    <w:p w14:paraId="4865F1DB" w14:textId="09FC2C6A" w:rsidR="0007712E" w:rsidRPr="00837AEE" w:rsidRDefault="0007712E"/>
    <w:p w14:paraId="2A40876C" w14:textId="365FA9E7" w:rsidR="0007712E" w:rsidRPr="00837AEE" w:rsidRDefault="0007712E">
      <w:pPr>
        <w:rPr>
          <w:b/>
          <w:bCs/>
        </w:rPr>
      </w:pPr>
      <w:r w:rsidRPr="00837AEE">
        <w:rPr>
          <w:b/>
          <w:bCs/>
        </w:rPr>
        <w:t>Activité de compréhension orale et écrite</w:t>
      </w:r>
    </w:p>
    <w:p w14:paraId="0F05DF02" w14:textId="77777777" w:rsidR="008B2322" w:rsidRPr="008B2322" w:rsidRDefault="008B2322">
      <w:pPr>
        <w:rPr>
          <w:sz w:val="28"/>
          <w:szCs w:val="28"/>
        </w:rPr>
      </w:pPr>
    </w:p>
    <w:p w14:paraId="3161D460" w14:textId="5B26FE5C" w:rsidR="0007712E" w:rsidRDefault="0007712E" w:rsidP="008B2322">
      <w:pPr>
        <w:pStyle w:val="Paragraphedeliste"/>
        <w:jc w:val="both"/>
      </w:pPr>
      <w:proofErr w:type="spellStart"/>
      <w:r>
        <w:t>Ecoutez</w:t>
      </w:r>
      <w:proofErr w:type="spellEnd"/>
      <w:r>
        <w:t xml:space="preserve"> le reportage </w:t>
      </w:r>
      <w:r w:rsidRPr="008B2322">
        <w:rPr>
          <w:color w:val="FF0000"/>
        </w:rPr>
        <w:t xml:space="preserve">de </w:t>
      </w:r>
      <w:r w:rsidRPr="008B2322">
        <w:rPr>
          <w:color w:val="FF0000"/>
          <w:u w:val="single"/>
        </w:rPr>
        <w:t>8 minutes 26 à 9 minutes 48</w:t>
      </w:r>
      <w:r>
        <w:t xml:space="preserve">, </w:t>
      </w:r>
    </w:p>
    <w:p w14:paraId="2D15D849" w14:textId="4E2799C3" w:rsidR="008B2322" w:rsidRDefault="008B2322" w:rsidP="008B2322">
      <w:hyperlink r:id="rId5" w:history="1">
        <w:r w:rsidRPr="002E67F3">
          <w:rPr>
            <w:rStyle w:val="Lienhypertexte"/>
          </w:rPr>
          <w:t>https://www.rfi.fr/fr/emission/20180619-surdoues-star</w:t>
        </w:r>
        <w:r w:rsidRPr="002E67F3">
          <w:rPr>
            <w:rStyle w:val="Lienhypertexte"/>
          </w:rPr>
          <w:t>t</w:t>
        </w:r>
        <w:r w:rsidRPr="002E67F3">
          <w:rPr>
            <w:rStyle w:val="Lienhypertexte"/>
          </w:rPr>
          <w:t>-up-africaines-peuvent-ils-aider-inclusion-financiere</w:t>
        </w:r>
      </w:hyperlink>
    </w:p>
    <w:p w14:paraId="420727D1" w14:textId="1D82527F" w:rsidR="0007712E" w:rsidRDefault="008B2322">
      <w:r>
        <w:tab/>
      </w:r>
      <w:r w:rsidR="0007712E">
        <w:t xml:space="preserve">Lisez la transcription  </w:t>
      </w:r>
    </w:p>
    <w:p w14:paraId="538901F0" w14:textId="09D4D699" w:rsidR="0007712E" w:rsidRDefault="0007712E">
      <w:r>
        <w:t xml:space="preserve"> </w:t>
      </w:r>
      <w:r w:rsidR="008B2322">
        <w:tab/>
      </w:r>
      <w:r>
        <w:t>Répondez aux questions.</w:t>
      </w:r>
    </w:p>
    <w:p w14:paraId="453973D0" w14:textId="481CD04C" w:rsidR="008B2322" w:rsidRDefault="008B2322"/>
    <w:p w14:paraId="146FD65E" w14:textId="77777777" w:rsidR="008B2322" w:rsidRDefault="008B2322"/>
    <w:p w14:paraId="2945ADF0" w14:textId="712E8CCD" w:rsidR="0007712E" w:rsidRDefault="0007712E"/>
    <w:p w14:paraId="04C72F7F" w14:textId="77777777" w:rsidR="008B2322" w:rsidRDefault="008B2322" w:rsidP="008B2322">
      <w:r w:rsidRPr="00837AEE">
        <w:rPr>
          <w:b/>
          <w:bCs/>
          <w:u w:val="single"/>
        </w:rPr>
        <w:t>Transcription</w:t>
      </w:r>
      <w:r>
        <w:t xml:space="preserve"> - RFI –Extrait « 7 milliards de voisins » Les surdoués des startups africaines peuvent-ils aider à l’inclusion financière ?</w:t>
      </w:r>
    </w:p>
    <w:p w14:paraId="6A61741F" w14:textId="77777777" w:rsidR="008B2322" w:rsidRDefault="008B2322"/>
    <w:p w14:paraId="5ACE939C" w14:textId="77777777" w:rsidR="008B2322" w:rsidRDefault="0007712E">
      <w:r w:rsidRPr="008B2322">
        <w:rPr>
          <w:b/>
          <w:bCs/>
        </w:rPr>
        <w:t>Emmanuelle Bastide (journaliste)</w:t>
      </w:r>
      <w:r>
        <w:t xml:space="preserve"> : Évidemment que le paiement mobile aujourd’hui est entré dans toutes les cultures, tous les usages. Les technologies financières</w:t>
      </w:r>
    </w:p>
    <w:p w14:paraId="70494A52" w14:textId="5D001045" w:rsidR="008B2322" w:rsidRDefault="0007712E">
      <w:proofErr w:type="spellStart"/>
      <w:r w:rsidRPr="00837AEE">
        <w:t>Chrys</w:t>
      </w:r>
      <w:proofErr w:type="spellEnd"/>
      <w:r w:rsidRPr="00837AEE">
        <w:t xml:space="preserve">-Eve </w:t>
      </w:r>
      <w:proofErr w:type="spellStart"/>
      <w:r w:rsidRPr="00837AEE">
        <w:t>Nyetam</w:t>
      </w:r>
      <w:proofErr w:type="spellEnd"/>
      <w:r w:rsidRPr="008B2322">
        <w:rPr>
          <w:b/>
          <w:bCs/>
        </w:rPr>
        <w:t>,</w:t>
      </w:r>
      <w:r>
        <w:t xml:space="preserve"> sont en pleine croissance sur le continent. Est-ce que vous pourriez nous dire ce qui s’est passé en dix ans, depuis grosso modo, onze ans même, depuis l’arrivée de M-Pesa au Kenya, jusqu’à aujourd’hui ; sachant que les Africains représentent maintenant la moitié des portefeuilles mobiles dans le monde, </w:t>
      </w:r>
      <w:proofErr w:type="spellStart"/>
      <w:r>
        <w:t>Chrys</w:t>
      </w:r>
      <w:proofErr w:type="spellEnd"/>
      <w:r>
        <w:t xml:space="preserve">-Eve ? </w:t>
      </w:r>
    </w:p>
    <w:p w14:paraId="667D1E6D" w14:textId="77777777" w:rsidR="00837AEE" w:rsidRDefault="00837AEE"/>
    <w:p w14:paraId="2CF2DD37" w14:textId="690522FF" w:rsidR="008B2322" w:rsidRDefault="0007712E">
      <w:proofErr w:type="spellStart"/>
      <w:r w:rsidRPr="008B2322">
        <w:rPr>
          <w:b/>
          <w:bCs/>
        </w:rPr>
        <w:t>Chrys</w:t>
      </w:r>
      <w:proofErr w:type="spellEnd"/>
      <w:r w:rsidRPr="008B2322">
        <w:rPr>
          <w:b/>
          <w:bCs/>
        </w:rPr>
        <w:t xml:space="preserve">-Eve </w:t>
      </w:r>
      <w:proofErr w:type="spellStart"/>
      <w:r w:rsidRPr="008B2322">
        <w:rPr>
          <w:b/>
          <w:bCs/>
        </w:rPr>
        <w:t>Nyetam</w:t>
      </w:r>
      <w:proofErr w:type="spellEnd"/>
      <w:r>
        <w:t xml:space="preserve"> : Il s’est passé en dix ans, M-Pesa ; ensuite on a eu… </w:t>
      </w:r>
    </w:p>
    <w:p w14:paraId="051C83F5" w14:textId="77777777" w:rsidR="00837AEE" w:rsidRDefault="00837AEE"/>
    <w:p w14:paraId="0BB9A541" w14:textId="31FEF006" w:rsidR="008B2322" w:rsidRDefault="0007712E">
      <w:r w:rsidRPr="00837AEE">
        <w:rPr>
          <w:b/>
          <w:bCs/>
        </w:rPr>
        <w:t>Emmanuelle Bastide (journaliste)</w:t>
      </w:r>
      <w:r>
        <w:t xml:space="preserve"> : au Kenya… au départ… </w:t>
      </w:r>
    </w:p>
    <w:p w14:paraId="1C4ADB7E" w14:textId="77777777" w:rsidR="00837AEE" w:rsidRDefault="00837AEE"/>
    <w:p w14:paraId="053C5BC3" w14:textId="7798FC36" w:rsidR="00837AEE" w:rsidRDefault="0007712E">
      <w:proofErr w:type="spellStart"/>
      <w:r w:rsidRPr="008B2322">
        <w:rPr>
          <w:b/>
          <w:bCs/>
        </w:rPr>
        <w:t>Chrys</w:t>
      </w:r>
      <w:proofErr w:type="spellEnd"/>
      <w:r w:rsidRPr="008B2322">
        <w:rPr>
          <w:b/>
          <w:bCs/>
        </w:rPr>
        <w:t xml:space="preserve">-Eve </w:t>
      </w:r>
      <w:proofErr w:type="spellStart"/>
      <w:r w:rsidRPr="008B2322">
        <w:rPr>
          <w:b/>
          <w:bCs/>
        </w:rPr>
        <w:t>Nyetam</w:t>
      </w:r>
      <w:proofErr w:type="spellEnd"/>
      <w:r w:rsidRPr="008B2322">
        <w:rPr>
          <w:b/>
          <w:bCs/>
        </w:rPr>
        <w:t xml:space="preserve"> :</w:t>
      </w:r>
      <w:r>
        <w:t xml:space="preserve"> … au départ. Ensuite on a eu tous ces opérateurs mobiles qui ont voulu répliquer ce modèle qui a quand même réussi à augmenter l’inclusion financière, au Kenya. Ensuite on a eu des fintech*, aujourd’hui en Afrique on compte trois cents fintech actives… </w:t>
      </w:r>
    </w:p>
    <w:p w14:paraId="4310A28C" w14:textId="77777777" w:rsidR="00837AEE" w:rsidRDefault="00837AEE"/>
    <w:p w14:paraId="2396F4CA" w14:textId="7038A34F" w:rsidR="008B2322" w:rsidRDefault="0007712E">
      <w:r w:rsidRPr="008B2322">
        <w:rPr>
          <w:b/>
          <w:bCs/>
        </w:rPr>
        <w:t>Emmanuelle Bastide (journaliste)</w:t>
      </w:r>
      <w:r>
        <w:t xml:space="preserve"> : …c’est-à-dire ? Les nouvelles technologies financières, les nouvelles technologies appliquées aux… </w:t>
      </w:r>
    </w:p>
    <w:p w14:paraId="47DDEE5B" w14:textId="77777777" w:rsidR="00837AEE" w:rsidRDefault="00837AEE"/>
    <w:p w14:paraId="4F6DBA1A" w14:textId="77777777" w:rsidR="008B2322" w:rsidRDefault="0007712E">
      <w:proofErr w:type="spellStart"/>
      <w:r w:rsidRPr="008B2322">
        <w:rPr>
          <w:b/>
          <w:bCs/>
        </w:rPr>
        <w:t>Chrys</w:t>
      </w:r>
      <w:proofErr w:type="spellEnd"/>
      <w:r w:rsidRPr="008B2322">
        <w:rPr>
          <w:b/>
          <w:bCs/>
        </w:rPr>
        <w:t xml:space="preserve">-Eve </w:t>
      </w:r>
      <w:proofErr w:type="spellStart"/>
      <w:r w:rsidRPr="008B2322">
        <w:rPr>
          <w:b/>
          <w:bCs/>
        </w:rPr>
        <w:t>Nyetam</w:t>
      </w:r>
      <w:proofErr w:type="spellEnd"/>
      <w:r>
        <w:t xml:space="preserve"> : … à la finance. En général ce sont des startups qui proposent des solutions technologiques auxquelles les banques traditionnelles n’avaient pas forcément pensé, ou n’osaient pas mettre en place. Et en dix ans, les levées de fonds, même j’ai envie de dire entre 2015 et 2017, ont été multipliées par quatre pour les startups fintech, en général. </w:t>
      </w:r>
    </w:p>
    <w:p w14:paraId="21DC92A7" w14:textId="60429EFC" w:rsidR="0007712E" w:rsidRDefault="0007712E">
      <w:r w:rsidRPr="008B2322">
        <w:rPr>
          <w:b/>
          <w:bCs/>
        </w:rPr>
        <w:t>Emmanuelle Bastide (journaliste)</w:t>
      </w:r>
      <w:r>
        <w:t xml:space="preserve"> : Ce qui veut dire que le marché, y compris international, croit à ces innovations. *fintech : nouvelles technologies appliquées à la finance.</w:t>
      </w:r>
    </w:p>
    <w:p w14:paraId="76DA1EE2" w14:textId="28DFAF2D" w:rsidR="008B2322" w:rsidRDefault="008B2322"/>
    <w:p w14:paraId="28501A8E" w14:textId="24177ED2" w:rsidR="008B2322" w:rsidRDefault="008B2322"/>
    <w:p w14:paraId="346911D6" w14:textId="3DDE0686" w:rsidR="008B2322" w:rsidRDefault="008B2322"/>
    <w:p w14:paraId="09AD1CF9" w14:textId="4082A40D" w:rsidR="008B2322" w:rsidRDefault="008B2322"/>
    <w:p w14:paraId="6EDC6222" w14:textId="17ADA345" w:rsidR="00837AEE" w:rsidRDefault="00837AEE"/>
    <w:p w14:paraId="7B5D5DB6" w14:textId="47E1128B" w:rsidR="00837AEE" w:rsidRDefault="00837AEE"/>
    <w:tbl>
      <w:tblPr>
        <w:tblStyle w:val="TableNormal"/>
        <w:tblW w:w="9526" w:type="dxa"/>
        <w:tblInd w:w="2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29"/>
        <w:gridCol w:w="1037"/>
        <w:gridCol w:w="1160"/>
      </w:tblGrid>
      <w:tr w:rsidR="00837AEE" w14:paraId="789A1437" w14:textId="77777777" w:rsidTr="00837AEE">
        <w:trPr>
          <w:trHeight w:val="669"/>
        </w:trPr>
        <w:tc>
          <w:tcPr>
            <w:tcW w:w="7329" w:type="dxa"/>
            <w:tcBorders>
              <w:top w:val="nil"/>
              <w:left w:val="nil"/>
            </w:tcBorders>
          </w:tcPr>
          <w:p w14:paraId="69828708" w14:textId="77777777" w:rsidR="00837AEE" w:rsidRDefault="00837AEE" w:rsidP="00972A51">
            <w:pPr>
              <w:pStyle w:val="TableParagraph"/>
              <w:rPr>
                <w:rFonts w:ascii="Times New Roman"/>
              </w:rPr>
            </w:pPr>
          </w:p>
        </w:tc>
        <w:tc>
          <w:tcPr>
            <w:tcW w:w="1037" w:type="dxa"/>
          </w:tcPr>
          <w:p w14:paraId="4F832322" w14:textId="77777777" w:rsidR="00837AEE" w:rsidRDefault="00837AEE" w:rsidP="00972A51">
            <w:pPr>
              <w:pStyle w:val="TableParagraph"/>
              <w:spacing w:before="54"/>
              <w:ind w:left="275"/>
              <w:rPr>
                <w:b/>
                <w:sz w:val="24"/>
              </w:rPr>
            </w:pPr>
            <w:r>
              <w:rPr>
                <w:b/>
                <w:spacing w:val="-4"/>
                <w:sz w:val="24"/>
              </w:rPr>
              <w:t>VRAI</w:t>
            </w:r>
          </w:p>
        </w:tc>
        <w:tc>
          <w:tcPr>
            <w:tcW w:w="1160" w:type="dxa"/>
          </w:tcPr>
          <w:p w14:paraId="74E7B866" w14:textId="77777777" w:rsidR="00837AEE" w:rsidRDefault="00837AEE" w:rsidP="00972A51">
            <w:pPr>
              <w:pStyle w:val="TableParagraph"/>
              <w:spacing w:before="54"/>
              <w:ind w:left="306"/>
              <w:rPr>
                <w:b/>
                <w:sz w:val="24"/>
              </w:rPr>
            </w:pPr>
            <w:r>
              <w:rPr>
                <w:b/>
                <w:spacing w:val="-4"/>
                <w:sz w:val="24"/>
              </w:rPr>
              <w:t>FAUX</w:t>
            </w:r>
          </w:p>
        </w:tc>
      </w:tr>
      <w:tr w:rsidR="00837AEE" w14:paraId="030B5B79" w14:textId="77777777" w:rsidTr="00837AEE">
        <w:trPr>
          <w:trHeight w:val="765"/>
        </w:trPr>
        <w:tc>
          <w:tcPr>
            <w:tcW w:w="7329" w:type="dxa"/>
          </w:tcPr>
          <w:p w14:paraId="4A06893A" w14:textId="77777777" w:rsidR="00837AEE" w:rsidRPr="00837AEE" w:rsidRDefault="00837AEE" w:rsidP="00972A51">
            <w:pPr>
              <w:pStyle w:val="TableParagraph"/>
              <w:spacing w:before="54" w:line="237" w:lineRule="auto"/>
              <w:ind w:left="775" w:right="20" w:hanging="360"/>
              <w:rPr>
                <w:lang w:val="fr-FR"/>
              </w:rPr>
            </w:pPr>
            <w:r w:rsidRPr="00837AEE">
              <w:rPr>
                <w:b/>
                <w:lang w:val="fr-FR"/>
              </w:rPr>
              <w:t>1.</w:t>
            </w:r>
            <w:r w:rsidRPr="00837AEE">
              <w:rPr>
                <w:b/>
                <w:spacing w:val="80"/>
                <w:w w:val="150"/>
                <w:lang w:val="fr-FR"/>
              </w:rPr>
              <w:t xml:space="preserve"> </w:t>
            </w:r>
            <w:r w:rsidRPr="00837AEE">
              <w:rPr>
                <w:lang w:val="fr-FR"/>
              </w:rPr>
              <w:t>Payer</w:t>
            </w:r>
            <w:r w:rsidRPr="00837AEE">
              <w:rPr>
                <w:spacing w:val="-2"/>
                <w:lang w:val="fr-FR"/>
              </w:rPr>
              <w:t xml:space="preserve"> </w:t>
            </w:r>
            <w:r w:rsidRPr="00837AEE">
              <w:rPr>
                <w:lang w:val="fr-FR"/>
              </w:rPr>
              <w:t>grâce</w:t>
            </w:r>
            <w:r w:rsidRPr="00837AEE">
              <w:rPr>
                <w:spacing w:val="-2"/>
                <w:lang w:val="fr-FR"/>
              </w:rPr>
              <w:t xml:space="preserve"> </w:t>
            </w:r>
            <w:r w:rsidRPr="00837AEE">
              <w:rPr>
                <w:lang w:val="fr-FR"/>
              </w:rPr>
              <w:t>à</w:t>
            </w:r>
            <w:r w:rsidRPr="00837AEE">
              <w:rPr>
                <w:spacing w:val="-3"/>
                <w:lang w:val="fr-FR"/>
              </w:rPr>
              <w:t xml:space="preserve"> </w:t>
            </w:r>
            <w:r w:rsidRPr="00837AEE">
              <w:rPr>
                <w:lang w:val="fr-FR"/>
              </w:rPr>
              <w:t>un</w:t>
            </w:r>
            <w:r w:rsidRPr="00837AEE">
              <w:rPr>
                <w:spacing w:val="-4"/>
                <w:lang w:val="fr-FR"/>
              </w:rPr>
              <w:t xml:space="preserve"> </w:t>
            </w:r>
            <w:r w:rsidRPr="00837AEE">
              <w:rPr>
                <w:lang w:val="fr-FR"/>
              </w:rPr>
              <w:t>téléphone</w:t>
            </w:r>
            <w:r w:rsidRPr="00837AEE">
              <w:rPr>
                <w:spacing w:val="-4"/>
                <w:lang w:val="fr-FR"/>
              </w:rPr>
              <w:t xml:space="preserve"> </w:t>
            </w:r>
            <w:r w:rsidRPr="00837AEE">
              <w:rPr>
                <w:lang w:val="fr-FR"/>
              </w:rPr>
              <w:t>portable</w:t>
            </w:r>
            <w:r w:rsidRPr="00837AEE">
              <w:rPr>
                <w:spacing w:val="-5"/>
                <w:lang w:val="fr-FR"/>
              </w:rPr>
              <w:t xml:space="preserve"> </w:t>
            </w:r>
            <w:r w:rsidRPr="00837AEE">
              <w:rPr>
                <w:lang w:val="fr-FR"/>
              </w:rPr>
              <w:t>est</w:t>
            </w:r>
            <w:r w:rsidRPr="00837AEE">
              <w:rPr>
                <w:spacing w:val="-4"/>
                <w:lang w:val="fr-FR"/>
              </w:rPr>
              <w:t xml:space="preserve"> </w:t>
            </w:r>
            <w:r w:rsidRPr="00837AEE">
              <w:rPr>
                <w:lang w:val="fr-FR"/>
              </w:rPr>
              <w:t>désormais</w:t>
            </w:r>
            <w:r w:rsidRPr="00837AEE">
              <w:rPr>
                <w:spacing w:val="-2"/>
                <w:lang w:val="fr-FR"/>
              </w:rPr>
              <w:t xml:space="preserve"> </w:t>
            </w:r>
            <w:r w:rsidRPr="00837AEE">
              <w:rPr>
                <w:lang w:val="fr-FR"/>
              </w:rPr>
              <w:t>courant</w:t>
            </w:r>
            <w:r w:rsidRPr="00837AEE">
              <w:rPr>
                <w:spacing w:val="-2"/>
                <w:lang w:val="fr-FR"/>
              </w:rPr>
              <w:t xml:space="preserve"> </w:t>
            </w:r>
            <w:r w:rsidRPr="00837AEE">
              <w:rPr>
                <w:lang w:val="fr-FR"/>
              </w:rPr>
              <w:t>partout</w:t>
            </w:r>
            <w:r w:rsidRPr="00837AEE">
              <w:rPr>
                <w:spacing w:val="-4"/>
                <w:lang w:val="fr-FR"/>
              </w:rPr>
              <w:t xml:space="preserve"> </w:t>
            </w:r>
            <w:r w:rsidRPr="00837AEE">
              <w:rPr>
                <w:lang w:val="fr-FR"/>
              </w:rPr>
              <w:t>dans le monde.</w:t>
            </w:r>
          </w:p>
        </w:tc>
        <w:tc>
          <w:tcPr>
            <w:tcW w:w="1037" w:type="dxa"/>
          </w:tcPr>
          <w:p w14:paraId="77CB4AA9" w14:textId="77777777" w:rsidR="00837AEE" w:rsidRPr="00837AEE" w:rsidRDefault="00837AEE" w:rsidP="00972A51">
            <w:pPr>
              <w:pStyle w:val="TableParagraph"/>
              <w:rPr>
                <w:rFonts w:ascii="Times New Roman"/>
                <w:lang w:val="fr-FR"/>
              </w:rPr>
            </w:pPr>
          </w:p>
        </w:tc>
        <w:tc>
          <w:tcPr>
            <w:tcW w:w="1160" w:type="dxa"/>
          </w:tcPr>
          <w:p w14:paraId="4CFC385E" w14:textId="77777777" w:rsidR="00837AEE" w:rsidRPr="00837AEE" w:rsidRDefault="00837AEE" w:rsidP="00972A51">
            <w:pPr>
              <w:pStyle w:val="TableParagraph"/>
              <w:rPr>
                <w:rFonts w:ascii="Times New Roman"/>
                <w:lang w:val="fr-FR"/>
              </w:rPr>
            </w:pPr>
          </w:p>
        </w:tc>
      </w:tr>
      <w:tr w:rsidR="00837AEE" w14:paraId="1B6E137D" w14:textId="77777777" w:rsidTr="00837AEE">
        <w:trPr>
          <w:trHeight w:val="1096"/>
        </w:trPr>
        <w:tc>
          <w:tcPr>
            <w:tcW w:w="7329" w:type="dxa"/>
          </w:tcPr>
          <w:p w14:paraId="65C0E4F5" w14:textId="77777777" w:rsidR="00837AEE" w:rsidRPr="00837AEE" w:rsidRDefault="00837AEE" w:rsidP="00972A51">
            <w:pPr>
              <w:pStyle w:val="TableParagraph"/>
              <w:spacing w:before="215"/>
              <w:ind w:left="775" w:right="20" w:hanging="360"/>
              <w:rPr>
                <w:lang w:val="fr-FR"/>
              </w:rPr>
            </w:pPr>
            <w:r w:rsidRPr="00837AEE">
              <w:rPr>
                <w:b/>
                <w:lang w:val="fr-FR"/>
              </w:rPr>
              <w:t>2.</w:t>
            </w:r>
            <w:r w:rsidRPr="00837AEE">
              <w:rPr>
                <w:b/>
                <w:spacing w:val="80"/>
                <w:w w:val="150"/>
                <w:lang w:val="fr-FR"/>
              </w:rPr>
              <w:t xml:space="preserve"> </w:t>
            </w:r>
            <w:r w:rsidRPr="00837AEE">
              <w:rPr>
                <w:lang w:val="fr-FR"/>
              </w:rPr>
              <w:t>Les</w:t>
            </w:r>
            <w:r w:rsidRPr="00837AEE">
              <w:rPr>
                <w:spacing w:val="-2"/>
                <w:lang w:val="fr-FR"/>
              </w:rPr>
              <w:t xml:space="preserve"> </w:t>
            </w:r>
            <w:r w:rsidRPr="00837AEE">
              <w:rPr>
                <w:lang w:val="fr-FR"/>
              </w:rPr>
              <w:t>nouvelles</w:t>
            </w:r>
            <w:r w:rsidRPr="00837AEE">
              <w:rPr>
                <w:spacing w:val="-4"/>
                <w:lang w:val="fr-FR"/>
              </w:rPr>
              <w:t xml:space="preserve"> </w:t>
            </w:r>
            <w:r w:rsidRPr="00837AEE">
              <w:rPr>
                <w:lang w:val="fr-FR"/>
              </w:rPr>
              <w:t>technologies</w:t>
            </w:r>
            <w:r w:rsidRPr="00837AEE">
              <w:rPr>
                <w:spacing w:val="-4"/>
                <w:lang w:val="fr-FR"/>
              </w:rPr>
              <w:t xml:space="preserve"> </w:t>
            </w:r>
            <w:r w:rsidRPr="00837AEE">
              <w:rPr>
                <w:lang w:val="fr-FR"/>
              </w:rPr>
              <w:t>financières</w:t>
            </w:r>
            <w:r w:rsidRPr="00837AEE">
              <w:rPr>
                <w:spacing w:val="-4"/>
                <w:lang w:val="fr-FR"/>
              </w:rPr>
              <w:t xml:space="preserve"> </w:t>
            </w:r>
            <w:r w:rsidRPr="00837AEE">
              <w:rPr>
                <w:lang w:val="fr-FR"/>
              </w:rPr>
              <w:t>ont</w:t>
            </w:r>
            <w:r w:rsidRPr="00837AEE">
              <w:rPr>
                <w:spacing w:val="-3"/>
                <w:lang w:val="fr-FR"/>
              </w:rPr>
              <w:t xml:space="preserve"> </w:t>
            </w:r>
            <w:r w:rsidRPr="00837AEE">
              <w:rPr>
                <w:lang w:val="fr-FR"/>
              </w:rPr>
              <w:t>cependant</w:t>
            </w:r>
            <w:r w:rsidRPr="00837AEE">
              <w:rPr>
                <w:spacing w:val="-4"/>
                <w:lang w:val="fr-FR"/>
              </w:rPr>
              <w:t xml:space="preserve"> </w:t>
            </w:r>
            <w:r w:rsidRPr="00837AEE">
              <w:rPr>
                <w:lang w:val="fr-FR"/>
              </w:rPr>
              <w:t>du</w:t>
            </w:r>
            <w:r w:rsidRPr="00837AEE">
              <w:rPr>
                <w:spacing w:val="-3"/>
                <w:lang w:val="fr-FR"/>
              </w:rPr>
              <w:t xml:space="preserve"> </w:t>
            </w:r>
            <w:r w:rsidRPr="00837AEE">
              <w:rPr>
                <w:lang w:val="fr-FR"/>
              </w:rPr>
              <w:t>mal</w:t>
            </w:r>
            <w:r w:rsidRPr="00837AEE">
              <w:rPr>
                <w:spacing w:val="-3"/>
                <w:lang w:val="fr-FR"/>
              </w:rPr>
              <w:t xml:space="preserve"> </w:t>
            </w:r>
            <w:r w:rsidRPr="00837AEE">
              <w:rPr>
                <w:lang w:val="fr-FR"/>
              </w:rPr>
              <w:t>à</w:t>
            </w:r>
            <w:r w:rsidRPr="00837AEE">
              <w:rPr>
                <w:spacing w:val="-5"/>
                <w:lang w:val="fr-FR"/>
              </w:rPr>
              <w:t xml:space="preserve"> </w:t>
            </w:r>
            <w:r w:rsidRPr="00837AEE">
              <w:rPr>
                <w:lang w:val="fr-FR"/>
              </w:rPr>
              <w:t>se développer en Afrique.</w:t>
            </w:r>
          </w:p>
        </w:tc>
        <w:tc>
          <w:tcPr>
            <w:tcW w:w="1037" w:type="dxa"/>
          </w:tcPr>
          <w:p w14:paraId="341C6718" w14:textId="77777777" w:rsidR="00837AEE" w:rsidRPr="00837AEE" w:rsidRDefault="00837AEE" w:rsidP="00972A51">
            <w:pPr>
              <w:pStyle w:val="TableParagraph"/>
              <w:rPr>
                <w:rFonts w:ascii="Times New Roman"/>
                <w:lang w:val="fr-FR"/>
              </w:rPr>
            </w:pPr>
          </w:p>
        </w:tc>
        <w:tc>
          <w:tcPr>
            <w:tcW w:w="1160" w:type="dxa"/>
          </w:tcPr>
          <w:p w14:paraId="40ABD744" w14:textId="77777777" w:rsidR="00837AEE" w:rsidRPr="00837AEE" w:rsidRDefault="00837AEE" w:rsidP="00972A51">
            <w:pPr>
              <w:pStyle w:val="TableParagraph"/>
              <w:rPr>
                <w:rFonts w:ascii="Times New Roman"/>
                <w:lang w:val="fr-FR"/>
              </w:rPr>
            </w:pPr>
          </w:p>
        </w:tc>
      </w:tr>
      <w:tr w:rsidR="00837AEE" w14:paraId="17D12241" w14:textId="77777777" w:rsidTr="00837AEE">
        <w:trPr>
          <w:trHeight w:val="762"/>
        </w:trPr>
        <w:tc>
          <w:tcPr>
            <w:tcW w:w="7329" w:type="dxa"/>
          </w:tcPr>
          <w:p w14:paraId="68EE5655" w14:textId="77777777" w:rsidR="00837AEE" w:rsidRPr="00837AEE" w:rsidRDefault="00837AEE" w:rsidP="00972A51">
            <w:pPr>
              <w:pStyle w:val="TableParagraph"/>
              <w:spacing w:before="47"/>
              <w:ind w:left="775" w:right="20" w:hanging="360"/>
              <w:rPr>
                <w:i/>
                <w:lang w:val="fr-FR"/>
              </w:rPr>
            </w:pPr>
            <w:r w:rsidRPr="00837AEE">
              <w:rPr>
                <w:b/>
                <w:lang w:val="fr-FR"/>
              </w:rPr>
              <w:t>3.</w:t>
            </w:r>
            <w:r w:rsidRPr="00837AEE">
              <w:rPr>
                <w:b/>
                <w:spacing w:val="80"/>
                <w:w w:val="150"/>
                <w:lang w:val="fr-FR"/>
              </w:rPr>
              <w:t xml:space="preserve"> </w:t>
            </w:r>
            <w:proofErr w:type="spellStart"/>
            <w:r w:rsidRPr="00837AEE">
              <w:rPr>
                <w:lang w:val="fr-FR"/>
              </w:rPr>
              <w:t>Chrys</w:t>
            </w:r>
            <w:proofErr w:type="spellEnd"/>
            <w:r w:rsidRPr="00837AEE">
              <w:rPr>
                <w:lang w:val="fr-FR"/>
              </w:rPr>
              <w:t>-Eve</w:t>
            </w:r>
            <w:r w:rsidRPr="00837AEE">
              <w:rPr>
                <w:spacing w:val="-3"/>
                <w:lang w:val="fr-FR"/>
              </w:rPr>
              <w:t xml:space="preserve"> </w:t>
            </w:r>
            <w:proofErr w:type="spellStart"/>
            <w:r w:rsidRPr="00837AEE">
              <w:rPr>
                <w:lang w:val="fr-FR"/>
              </w:rPr>
              <w:t>Nyetam</w:t>
            </w:r>
            <w:proofErr w:type="spellEnd"/>
            <w:r w:rsidRPr="00837AEE">
              <w:rPr>
                <w:spacing w:val="-2"/>
                <w:lang w:val="fr-FR"/>
              </w:rPr>
              <w:t xml:space="preserve"> </w:t>
            </w:r>
            <w:r w:rsidRPr="00837AEE">
              <w:rPr>
                <w:lang w:val="fr-FR"/>
              </w:rPr>
              <w:t>parle</w:t>
            </w:r>
            <w:r w:rsidRPr="00837AEE">
              <w:rPr>
                <w:spacing w:val="-3"/>
                <w:lang w:val="fr-FR"/>
              </w:rPr>
              <w:t xml:space="preserve"> </w:t>
            </w:r>
            <w:r w:rsidRPr="00837AEE">
              <w:rPr>
                <w:lang w:val="fr-FR"/>
              </w:rPr>
              <w:t>de</w:t>
            </w:r>
            <w:r w:rsidRPr="00837AEE">
              <w:rPr>
                <w:spacing w:val="-5"/>
                <w:lang w:val="fr-FR"/>
              </w:rPr>
              <w:t xml:space="preserve"> </w:t>
            </w:r>
            <w:r w:rsidRPr="00837AEE">
              <w:rPr>
                <w:lang w:val="fr-FR"/>
              </w:rPr>
              <w:t>l’évolution</w:t>
            </w:r>
            <w:r w:rsidRPr="00837AEE">
              <w:rPr>
                <w:spacing w:val="-4"/>
                <w:lang w:val="fr-FR"/>
              </w:rPr>
              <w:t xml:space="preserve"> </w:t>
            </w:r>
            <w:r w:rsidRPr="00837AEE">
              <w:rPr>
                <w:lang w:val="fr-FR"/>
              </w:rPr>
              <w:t>de</w:t>
            </w:r>
            <w:r w:rsidRPr="00837AEE">
              <w:rPr>
                <w:spacing w:val="-5"/>
                <w:lang w:val="fr-FR"/>
              </w:rPr>
              <w:t xml:space="preserve"> </w:t>
            </w:r>
            <w:r w:rsidRPr="00837AEE">
              <w:rPr>
                <w:lang w:val="fr-FR"/>
              </w:rPr>
              <w:t>ce</w:t>
            </w:r>
            <w:r w:rsidRPr="00837AEE">
              <w:rPr>
                <w:spacing w:val="-2"/>
                <w:lang w:val="fr-FR"/>
              </w:rPr>
              <w:t xml:space="preserve"> </w:t>
            </w:r>
            <w:r w:rsidRPr="00837AEE">
              <w:rPr>
                <w:lang w:val="fr-FR"/>
              </w:rPr>
              <w:t>secteur</w:t>
            </w:r>
            <w:r w:rsidRPr="00837AEE">
              <w:rPr>
                <w:spacing w:val="-3"/>
                <w:lang w:val="fr-FR"/>
              </w:rPr>
              <w:t xml:space="preserve"> </w:t>
            </w:r>
            <w:r w:rsidRPr="00837AEE">
              <w:rPr>
                <w:lang w:val="fr-FR"/>
              </w:rPr>
              <w:t>sur</w:t>
            </w:r>
            <w:r w:rsidRPr="00837AEE">
              <w:rPr>
                <w:spacing w:val="-3"/>
                <w:lang w:val="fr-FR"/>
              </w:rPr>
              <w:t xml:space="preserve"> </w:t>
            </w:r>
            <w:r w:rsidRPr="00837AEE">
              <w:rPr>
                <w:lang w:val="fr-FR"/>
              </w:rPr>
              <w:t>les</w:t>
            </w:r>
            <w:r w:rsidRPr="00837AEE">
              <w:rPr>
                <w:spacing w:val="-3"/>
                <w:lang w:val="fr-FR"/>
              </w:rPr>
              <w:t xml:space="preserve"> </w:t>
            </w:r>
            <w:r w:rsidRPr="00837AEE">
              <w:rPr>
                <w:lang w:val="fr-FR"/>
              </w:rPr>
              <w:t>deux dernières années</w:t>
            </w:r>
            <w:r w:rsidRPr="00837AEE">
              <w:rPr>
                <w:i/>
                <w:lang w:val="fr-FR"/>
              </w:rPr>
              <w:t>.</w:t>
            </w:r>
          </w:p>
        </w:tc>
        <w:tc>
          <w:tcPr>
            <w:tcW w:w="1037" w:type="dxa"/>
          </w:tcPr>
          <w:p w14:paraId="1A72F65D" w14:textId="77777777" w:rsidR="00837AEE" w:rsidRPr="00837AEE" w:rsidRDefault="00837AEE" w:rsidP="00972A51">
            <w:pPr>
              <w:pStyle w:val="TableParagraph"/>
              <w:rPr>
                <w:rFonts w:ascii="Times New Roman"/>
                <w:lang w:val="fr-FR"/>
              </w:rPr>
            </w:pPr>
          </w:p>
        </w:tc>
        <w:tc>
          <w:tcPr>
            <w:tcW w:w="1160" w:type="dxa"/>
          </w:tcPr>
          <w:p w14:paraId="47620E73" w14:textId="77777777" w:rsidR="00837AEE" w:rsidRPr="00837AEE" w:rsidRDefault="00837AEE" w:rsidP="00972A51">
            <w:pPr>
              <w:pStyle w:val="TableParagraph"/>
              <w:rPr>
                <w:rFonts w:ascii="Times New Roman"/>
                <w:lang w:val="fr-FR"/>
              </w:rPr>
            </w:pPr>
          </w:p>
        </w:tc>
      </w:tr>
      <w:tr w:rsidR="00837AEE" w14:paraId="6F7EB31F" w14:textId="77777777" w:rsidTr="00837AEE">
        <w:trPr>
          <w:trHeight w:val="1094"/>
        </w:trPr>
        <w:tc>
          <w:tcPr>
            <w:tcW w:w="7329" w:type="dxa"/>
          </w:tcPr>
          <w:p w14:paraId="4D1BCE3C" w14:textId="77777777" w:rsidR="00837AEE" w:rsidRPr="00837AEE" w:rsidRDefault="00837AEE" w:rsidP="00972A51">
            <w:pPr>
              <w:pStyle w:val="TableParagraph"/>
              <w:spacing w:before="79"/>
              <w:rPr>
                <w:b/>
                <w:i/>
                <w:lang w:val="fr-FR"/>
              </w:rPr>
            </w:pPr>
          </w:p>
          <w:p w14:paraId="3EC3BD99" w14:textId="77777777" w:rsidR="00837AEE" w:rsidRPr="00837AEE" w:rsidRDefault="00837AEE" w:rsidP="00972A51">
            <w:pPr>
              <w:pStyle w:val="TableParagraph"/>
              <w:ind w:left="415"/>
              <w:rPr>
                <w:lang w:val="fr-FR"/>
              </w:rPr>
            </w:pPr>
            <w:r w:rsidRPr="00837AEE">
              <w:rPr>
                <w:b/>
                <w:lang w:val="fr-FR"/>
              </w:rPr>
              <w:t>4.</w:t>
            </w:r>
            <w:r w:rsidRPr="00837AEE">
              <w:rPr>
                <w:b/>
                <w:spacing w:val="42"/>
                <w:lang w:val="fr-FR"/>
              </w:rPr>
              <w:t xml:space="preserve">  </w:t>
            </w:r>
            <w:r w:rsidRPr="00837AEE">
              <w:rPr>
                <w:lang w:val="fr-FR"/>
              </w:rPr>
              <w:t>M-Pesa</w:t>
            </w:r>
            <w:r w:rsidRPr="00837AEE">
              <w:rPr>
                <w:spacing w:val="-1"/>
                <w:lang w:val="fr-FR"/>
              </w:rPr>
              <w:t xml:space="preserve"> </w:t>
            </w:r>
            <w:r w:rsidRPr="00837AEE">
              <w:rPr>
                <w:lang w:val="fr-FR"/>
              </w:rPr>
              <w:t>est arrivé</w:t>
            </w:r>
            <w:r w:rsidRPr="00837AEE">
              <w:rPr>
                <w:spacing w:val="-3"/>
                <w:lang w:val="fr-FR"/>
              </w:rPr>
              <w:t xml:space="preserve"> </w:t>
            </w:r>
            <w:r w:rsidRPr="00837AEE">
              <w:rPr>
                <w:lang w:val="fr-FR"/>
              </w:rPr>
              <w:t>au</w:t>
            </w:r>
            <w:r w:rsidRPr="00837AEE">
              <w:rPr>
                <w:spacing w:val="-1"/>
                <w:lang w:val="fr-FR"/>
              </w:rPr>
              <w:t xml:space="preserve"> </w:t>
            </w:r>
            <w:r w:rsidRPr="00837AEE">
              <w:rPr>
                <w:lang w:val="fr-FR"/>
              </w:rPr>
              <w:t>Kenya</w:t>
            </w:r>
            <w:r w:rsidRPr="00837AEE">
              <w:rPr>
                <w:spacing w:val="-3"/>
                <w:lang w:val="fr-FR"/>
              </w:rPr>
              <w:t xml:space="preserve"> </w:t>
            </w:r>
            <w:r w:rsidRPr="00837AEE">
              <w:rPr>
                <w:lang w:val="fr-FR"/>
              </w:rPr>
              <w:t>il</w:t>
            </w:r>
            <w:r w:rsidRPr="00837AEE">
              <w:rPr>
                <w:spacing w:val="-1"/>
                <w:lang w:val="fr-FR"/>
              </w:rPr>
              <w:t xml:space="preserve"> </w:t>
            </w:r>
            <w:r w:rsidRPr="00837AEE">
              <w:rPr>
                <w:lang w:val="fr-FR"/>
              </w:rPr>
              <w:t>y a</w:t>
            </w:r>
            <w:r w:rsidRPr="00837AEE">
              <w:rPr>
                <w:spacing w:val="-3"/>
                <w:lang w:val="fr-FR"/>
              </w:rPr>
              <w:t xml:space="preserve"> </w:t>
            </w:r>
            <w:r w:rsidRPr="00837AEE">
              <w:rPr>
                <w:lang w:val="fr-FR"/>
              </w:rPr>
              <w:t>onze</w:t>
            </w:r>
            <w:r w:rsidRPr="00837AEE">
              <w:rPr>
                <w:spacing w:val="-3"/>
                <w:lang w:val="fr-FR"/>
              </w:rPr>
              <w:t xml:space="preserve"> </w:t>
            </w:r>
            <w:r w:rsidRPr="00837AEE">
              <w:rPr>
                <w:spacing w:val="-4"/>
                <w:lang w:val="fr-FR"/>
              </w:rPr>
              <w:t>ans.</w:t>
            </w:r>
          </w:p>
        </w:tc>
        <w:tc>
          <w:tcPr>
            <w:tcW w:w="1037" w:type="dxa"/>
          </w:tcPr>
          <w:p w14:paraId="764D5C56" w14:textId="77777777" w:rsidR="00837AEE" w:rsidRPr="00837AEE" w:rsidRDefault="00837AEE" w:rsidP="00972A51">
            <w:pPr>
              <w:pStyle w:val="TableParagraph"/>
              <w:rPr>
                <w:rFonts w:ascii="Times New Roman"/>
                <w:lang w:val="fr-FR"/>
              </w:rPr>
            </w:pPr>
          </w:p>
        </w:tc>
        <w:tc>
          <w:tcPr>
            <w:tcW w:w="1160" w:type="dxa"/>
          </w:tcPr>
          <w:p w14:paraId="10DC5392" w14:textId="77777777" w:rsidR="00837AEE" w:rsidRPr="00837AEE" w:rsidRDefault="00837AEE" w:rsidP="00972A51">
            <w:pPr>
              <w:pStyle w:val="TableParagraph"/>
              <w:rPr>
                <w:rFonts w:ascii="Times New Roman"/>
                <w:lang w:val="fr-FR"/>
              </w:rPr>
            </w:pPr>
          </w:p>
        </w:tc>
      </w:tr>
      <w:tr w:rsidR="00837AEE" w14:paraId="2CEC1BEB" w14:textId="77777777" w:rsidTr="00837AEE">
        <w:trPr>
          <w:trHeight w:val="662"/>
        </w:trPr>
        <w:tc>
          <w:tcPr>
            <w:tcW w:w="7329" w:type="dxa"/>
          </w:tcPr>
          <w:p w14:paraId="6AAA971B" w14:textId="77777777" w:rsidR="00837AEE" w:rsidRPr="00837AEE" w:rsidRDefault="00837AEE" w:rsidP="00972A51">
            <w:pPr>
              <w:pStyle w:val="TableParagraph"/>
              <w:spacing w:before="131"/>
              <w:ind w:left="415"/>
              <w:rPr>
                <w:lang w:val="fr-FR"/>
              </w:rPr>
            </w:pPr>
            <w:r w:rsidRPr="00837AEE">
              <w:rPr>
                <w:b/>
                <w:lang w:val="fr-FR"/>
              </w:rPr>
              <w:t>5.</w:t>
            </w:r>
            <w:r w:rsidRPr="00837AEE">
              <w:rPr>
                <w:b/>
                <w:spacing w:val="37"/>
                <w:lang w:val="fr-FR"/>
              </w:rPr>
              <w:t xml:space="preserve">  </w:t>
            </w:r>
            <w:r w:rsidRPr="00837AEE">
              <w:rPr>
                <w:lang w:val="fr-FR"/>
              </w:rPr>
              <w:t>50%</w:t>
            </w:r>
            <w:r w:rsidRPr="00837AEE">
              <w:rPr>
                <w:spacing w:val="46"/>
                <w:lang w:val="fr-FR"/>
              </w:rPr>
              <w:t xml:space="preserve"> </w:t>
            </w:r>
            <w:r w:rsidRPr="00837AEE">
              <w:rPr>
                <w:lang w:val="fr-FR"/>
              </w:rPr>
              <w:t>des</w:t>
            </w:r>
            <w:r w:rsidRPr="00837AEE">
              <w:rPr>
                <w:spacing w:val="-5"/>
                <w:lang w:val="fr-FR"/>
              </w:rPr>
              <w:t xml:space="preserve"> </w:t>
            </w:r>
            <w:r w:rsidRPr="00837AEE">
              <w:rPr>
                <w:lang w:val="fr-FR"/>
              </w:rPr>
              <w:t>téléphones</w:t>
            </w:r>
            <w:r w:rsidRPr="00837AEE">
              <w:rPr>
                <w:spacing w:val="-6"/>
                <w:lang w:val="fr-FR"/>
              </w:rPr>
              <w:t xml:space="preserve"> </w:t>
            </w:r>
            <w:r w:rsidRPr="00837AEE">
              <w:rPr>
                <w:lang w:val="fr-FR"/>
              </w:rPr>
              <w:t>portables</w:t>
            </w:r>
            <w:r w:rsidRPr="00837AEE">
              <w:rPr>
                <w:spacing w:val="-3"/>
                <w:lang w:val="fr-FR"/>
              </w:rPr>
              <w:t xml:space="preserve"> </w:t>
            </w:r>
            <w:r w:rsidRPr="00837AEE">
              <w:rPr>
                <w:lang w:val="fr-FR"/>
              </w:rPr>
              <w:t>mondiaux</w:t>
            </w:r>
            <w:r w:rsidRPr="00837AEE">
              <w:rPr>
                <w:spacing w:val="-3"/>
                <w:lang w:val="fr-FR"/>
              </w:rPr>
              <w:t xml:space="preserve"> </w:t>
            </w:r>
            <w:r w:rsidRPr="00837AEE">
              <w:rPr>
                <w:lang w:val="fr-FR"/>
              </w:rPr>
              <w:t>sont</w:t>
            </w:r>
            <w:r w:rsidRPr="00837AEE">
              <w:rPr>
                <w:spacing w:val="-3"/>
                <w:lang w:val="fr-FR"/>
              </w:rPr>
              <w:t xml:space="preserve"> </w:t>
            </w:r>
            <w:r w:rsidRPr="00837AEE">
              <w:rPr>
                <w:lang w:val="fr-FR"/>
              </w:rPr>
              <w:t>détenus</w:t>
            </w:r>
            <w:r w:rsidRPr="00837AEE">
              <w:rPr>
                <w:spacing w:val="-4"/>
                <w:lang w:val="fr-FR"/>
              </w:rPr>
              <w:t xml:space="preserve"> </w:t>
            </w:r>
            <w:r w:rsidRPr="00837AEE">
              <w:rPr>
                <w:lang w:val="fr-FR"/>
              </w:rPr>
              <w:t>par</w:t>
            </w:r>
            <w:r w:rsidRPr="00837AEE">
              <w:rPr>
                <w:spacing w:val="-3"/>
                <w:lang w:val="fr-FR"/>
              </w:rPr>
              <w:t xml:space="preserve"> </w:t>
            </w:r>
            <w:r w:rsidRPr="00837AEE">
              <w:rPr>
                <w:lang w:val="fr-FR"/>
              </w:rPr>
              <w:t>des</w:t>
            </w:r>
            <w:r w:rsidRPr="00837AEE">
              <w:rPr>
                <w:spacing w:val="-2"/>
                <w:lang w:val="fr-FR"/>
              </w:rPr>
              <w:t xml:space="preserve"> Africains.</w:t>
            </w:r>
          </w:p>
        </w:tc>
        <w:tc>
          <w:tcPr>
            <w:tcW w:w="1037" w:type="dxa"/>
          </w:tcPr>
          <w:p w14:paraId="2D73E7E9" w14:textId="77777777" w:rsidR="00837AEE" w:rsidRPr="00837AEE" w:rsidRDefault="00837AEE" w:rsidP="00972A51">
            <w:pPr>
              <w:pStyle w:val="TableParagraph"/>
              <w:rPr>
                <w:rFonts w:ascii="Times New Roman"/>
                <w:lang w:val="fr-FR"/>
              </w:rPr>
            </w:pPr>
          </w:p>
        </w:tc>
        <w:tc>
          <w:tcPr>
            <w:tcW w:w="1160" w:type="dxa"/>
          </w:tcPr>
          <w:p w14:paraId="5294AE35" w14:textId="77777777" w:rsidR="00837AEE" w:rsidRPr="00837AEE" w:rsidRDefault="00837AEE" w:rsidP="00972A51">
            <w:pPr>
              <w:pStyle w:val="TableParagraph"/>
              <w:rPr>
                <w:rFonts w:ascii="Times New Roman"/>
                <w:lang w:val="fr-FR"/>
              </w:rPr>
            </w:pPr>
          </w:p>
        </w:tc>
      </w:tr>
      <w:tr w:rsidR="00837AEE" w14:paraId="7561E942" w14:textId="77777777" w:rsidTr="00837AEE">
        <w:trPr>
          <w:trHeight w:val="662"/>
        </w:trPr>
        <w:tc>
          <w:tcPr>
            <w:tcW w:w="7329" w:type="dxa"/>
            <w:tcBorders>
              <w:bottom w:val="single" w:sz="4" w:space="0" w:color="000000"/>
            </w:tcBorders>
          </w:tcPr>
          <w:p w14:paraId="78F7D917" w14:textId="77777777" w:rsidR="00837AEE" w:rsidRPr="00837AEE" w:rsidRDefault="00837AEE" w:rsidP="00972A51">
            <w:pPr>
              <w:pStyle w:val="TableParagraph"/>
              <w:spacing w:before="131"/>
              <w:ind w:left="415"/>
              <w:rPr>
                <w:lang w:val="fr-FR"/>
              </w:rPr>
            </w:pPr>
            <w:r w:rsidRPr="00837AEE">
              <w:rPr>
                <w:b/>
                <w:lang w:val="fr-FR"/>
              </w:rPr>
              <w:t>6.</w:t>
            </w:r>
            <w:r w:rsidRPr="00837AEE">
              <w:rPr>
                <w:b/>
                <w:spacing w:val="41"/>
                <w:lang w:val="fr-FR"/>
              </w:rPr>
              <w:t xml:space="preserve">  </w:t>
            </w:r>
            <w:r w:rsidRPr="00837AEE">
              <w:rPr>
                <w:lang w:val="fr-FR"/>
              </w:rPr>
              <w:t>Les banques</w:t>
            </w:r>
            <w:r w:rsidRPr="00837AEE">
              <w:rPr>
                <w:spacing w:val="-4"/>
                <w:lang w:val="fr-FR"/>
              </w:rPr>
              <w:t xml:space="preserve"> </w:t>
            </w:r>
            <w:r w:rsidRPr="00837AEE">
              <w:rPr>
                <w:lang w:val="fr-FR"/>
              </w:rPr>
              <w:t>ont</w:t>
            </w:r>
            <w:r w:rsidRPr="00837AEE">
              <w:rPr>
                <w:spacing w:val="-3"/>
                <w:lang w:val="fr-FR"/>
              </w:rPr>
              <w:t xml:space="preserve"> </w:t>
            </w:r>
            <w:r w:rsidRPr="00837AEE">
              <w:rPr>
                <w:lang w:val="fr-FR"/>
              </w:rPr>
              <w:t>par</w:t>
            </w:r>
            <w:r w:rsidRPr="00837AEE">
              <w:rPr>
                <w:spacing w:val="-2"/>
                <w:lang w:val="fr-FR"/>
              </w:rPr>
              <w:t xml:space="preserve"> </w:t>
            </w:r>
            <w:r w:rsidRPr="00837AEE">
              <w:rPr>
                <w:lang w:val="fr-FR"/>
              </w:rPr>
              <w:t>la</w:t>
            </w:r>
            <w:r w:rsidRPr="00837AEE">
              <w:rPr>
                <w:spacing w:val="-2"/>
                <w:lang w:val="fr-FR"/>
              </w:rPr>
              <w:t xml:space="preserve"> </w:t>
            </w:r>
            <w:r w:rsidRPr="00837AEE">
              <w:rPr>
                <w:lang w:val="fr-FR"/>
              </w:rPr>
              <w:t>suite reproduit</w:t>
            </w:r>
            <w:r w:rsidRPr="00837AEE">
              <w:rPr>
                <w:spacing w:val="-1"/>
                <w:lang w:val="fr-FR"/>
              </w:rPr>
              <w:t xml:space="preserve"> </w:t>
            </w:r>
            <w:r w:rsidRPr="00837AEE">
              <w:rPr>
                <w:lang w:val="fr-FR"/>
              </w:rPr>
              <w:t>ce</w:t>
            </w:r>
            <w:r w:rsidRPr="00837AEE">
              <w:rPr>
                <w:spacing w:val="-3"/>
                <w:lang w:val="fr-FR"/>
              </w:rPr>
              <w:t xml:space="preserve"> </w:t>
            </w:r>
            <w:r w:rsidRPr="00837AEE">
              <w:rPr>
                <w:lang w:val="fr-FR"/>
              </w:rPr>
              <w:t>système</w:t>
            </w:r>
            <w:r w:rsidRPr="00837AEE">
              <w:rPr>
                <w:spacing w:val="-3"/>
                <w:lang w:val="fr-FR"/>
              </w:rPr>
              <w:t xml:space="preserve"> </w:t>
            </w:r>
            <w:r w:rsidRPr="00837AEE">
              <w:rPr>
                <w:spacing w:val="-2"/>
                <w:lang w:val="fr-FR"/>
              </w:rPr>
              <w:t>ailleurs.</w:t>
            </w:r>
          </w:p>
        </w:tc>
        <w:tc>
          <w:tcPr>
            <w:tcW w:w="1037" w:type="dxa"/>
            <w:tcBorders>
              <w:bottom w:val="single" w:sz="4" w:space="0" w:color="000000"/>
            </w:tcBorders>
          </w:tcPr>
          <w:p w14:paraId="57503593" w14:textId="77777777" w:rsidR="00837AEE" w:rsidRPr="00837AEE" w:rsidRDefault="00837AEE" w:rsidP="00972A51">
            <w:pPr>
              <w:pStyle w:val="TableParagraph"/>
              <w:rPr>
                <w:rFonts w:ascii="Times New Roman"/>
                <w:lang w:val="fr-FR"/>
              </w:rPr>
            </w:pPr>
          </w:p>
        </w:tc>
        <w:tc>
          <w:tcPr>
            <w:tcW w:w="1160" w:type="dxa"/>
            <w:tcBorders>
              <w:bottom w:val="single" w:sz="4" w:space="0" w:color="000000"/>
            </w:tcBorders>
          </w:tcPr>
          <w:p w14:paraId="3B2429BC" w14:textId="77777777" w:rsidR="00837AEE" w:rsidRPr="00837AEE" w:rsidRDefault="00837AEE" w:rsidP="00972A51">
            <w:pPr>
              <w:pStyle w:val="TableParagraph"/>
              <w:rPr>
                <w:rFonts w:ascii="Times New Roman"/>
                <w:lang w:val="fr-FR"/>
              </w:rPr>
            </w:pPr>
          </w:p>
        </w:tc>
      </w:tr>
      <w:tr w:rsidR="00837AEE" w14:paraId="3670F264" w14:textId="77777777" w:rsidTr="00837AEE">
        <w:trPr>
          <w:trHeight w:val="662"/>
        </w:trPr>
        <w:tc>
          <w:tcPr>
            <w:tcW w:w="7329" w:type="dxa"/>
            <w:tcBorders>
              <w:bottom w:val="single" w:sz="4" w:space="0" w:color="000000"/>
            </w:tcBorders>
          </w:tcPr>
          <w:p w14:paraId="30481EAE" w14:textId="6B4233B3" w:rsidR="00837AEE" w:rsidRPr="00837AEE" w:rsidRDefault="00837AEE" w:rsidP="00972A51">
            <w:pPr>
              <w:pStyle w:val="TableParagraph"/>
              <w:spacing w:before="131"/>
              <w:ind w:left="415"/>
              <w:rPr>
                <w:b/>
                <w:lang w:val="fr-FR"/>
              </w:rPr>
            </w:pPr>
            <w:r w:rsidRPr="00837AEE">
              <w:rPr>
                <w:b/>
                <w:lang w:val="fr-FR"/>
              </w:rPr>
              <w:t xml:space="preserve">7.  </w:t>
            </w:r>
            <w:r w:rsidRPr="00837AEE">
              <w:rPr>
                <w:lang w:val="fr-FR"/>
              </w:rPr>
              <w:t xml:space="preserve">Il y a dix ans, il y avait environ 300 </w:t>
            </w:r>
            <w:r w:rsidRPr="00837AEE">
              <w:rPr>
                <w:i/>
                <w:lang w:val="fr-FR"/>
              </w:rPr>
              <w:t xml:space="preserve">fintechs </w:t>
            </w:r>
            <w:r w:rsidRPr="00837AEE">
              <w:rPr>
                <w:lang w:val="fr-FR"/>
              </w:rPr>
              <w:t>en Afrique.</w:t>
            </w:r>
          </w:p>
        </w:tc>
        <w:tc>
          <w:tcPr>
            <w:tcW w:w="1037" w:type="dxa"/>
            <w:tcBorders>
              <w:bottom w:val="single" w:sz="4" w:space="0" w:color="000000"/>
            </w:tcBorders>
          </w:tcPr>
          <w:p w14:paraId="59CDC88F" w14:textId="77777777" w:rsidR="00837AEE" w:rsidRPr="00837AEE" w:rsidRDefault="00837AEE" w:rsidP="00972A51">
            <w:pPr>
              <w:pStyle w:val="TableParagraph"/>
              <w:rPr>
                <w:rFonts w:ascii="Times New Roman"/>
                <w:lang w:val="fr-FR"/>
              </w:rPr>
            </w:pPr>
          </w:p>
        </w:tc>
        <w:tc>
          <w:tcPr>
            <w:tcW w:w="1160" w:type="dxa"/>
            <w:tcBorders>
              <w:bottom w:val="single" w:sz="4" w:space="0" w:color="000000"/>
            </w:tcBorders>
          </w:tcPr>
          <w:p w14:paraId="4693FD80" w14:textId="77777777" w:rsidR="00837AEE" w:rsidRPr="00837AEE" w:rsidRDefault="00837AEE" w:rsidP="00972A51">
            <w:pPr>
              <w:pStyle w:val="TableParagraph"/>
              <w:rPr>
                <w:rFonts w:ascii="Times New Roman"/>
                <w:lang w:val="fr-FR"/>
              </w:rPr>
            </w:pPr>
          </w:p>
        </w:tc>
      </w:tr>
      <w:tr w:rsidR="00837AEE" w14:paraId="61094777" w14:textId="77777777" w:rsidTr="00837AEE">
        <w:trPr>
          <w:trHeight w:val="662"/>
        </w:trPr>
        <w:tc>
          <w:tcPr>
            <w:tcW w:w="7329" w:type="dxa"/>
            <w:tcBorders>
              <w:bottom w:val="single" w:sz="4" w:space="0" w:color="000000"/>
            </w:tcBorders>
          </w:tcPr>
          <w:p w14:paraId="5ECF1EE4" w14:textId="58CDBED3" w:rsidR="00837AEE" w:rsidRPr="00837AEE" w:rsidRDefault="00837AEE" w:rsidP="00837AEE">
            <w:pPr>
              <w:pStyle w:val="TableParagraph"/>
              <w:spacing w:before="131"/>
              <w:ind w:left="415"/>
              <w:rPr>
                <w:b/>
                <w:lang w:val="fr-FR"/>
              </w:rPr>
            </w:pPr>
            <w:r w:rsidRPr="00837AEE">
              <w:rPr>
                <w:b/>
                <w:lang w:val="fr-FR"/>
              </w:rPr>
              <w:t xml:space="preserve">8. </w:t>
            </w:r>
            <w:r w:rsidRPr="00837AEE">
              <w:rPr>
                <w:lang w:val="fr-FR"/>
              </w:rPr>
              <w:t xml:space="preserve">Les </w:t>
            </w:r>
            <w:r w:rsidRPr="00837AEE">
              <w:rPr>
                <w:i/>
                <w:lang w:val="fr-FR"/>
              </w:rPr>
              <w:t xml:space="preserve">fintechs </w:t>
            </w:r>
            <w:r w:rsidRPr="00837AEE">
              <w:rPr>
                <w:lang w:val="fr-FR"/>
              </w:rPr>
              <w:t>sont des startups qui proposent des services financiers à la place des banques traditionnelles.</w:t>
            </w:r>
          </w:p>
        </w:tc>
        <w:tc>
          <w:tcPr>
            <w:tcW w:w="1037" w:type="dxa"/>
            <w:tcBorders>
              <w:bottom w:val="single" w:sz="4" w:space="0" w:color="000000"/>
            </w:tcBorders>
          </w:tcPr>
          <w:p w14:paraId="4AE0EF3D" w14:textId="77777777" w:rsidR="00837AEE" w:rsidRPr="00837AEE" w:rsidRDefault="00837AEE" w:rsidP="00837AEE">
            <w:pPr>
              <w:pStyle w:val="TableParagraph"/>
              <w:rPr>
                <w:rFonts w:ascii="Times New Roman"/>
                <w:lang w:val="fr-FR"/>
              </w:rPr>
            </w:pPr>
          </w:p>
        </w:tc>
        <w:tc>
          <w:tcPr>
            <w:tcW w:w="1160" w:type="dxa"/>
            <w:tcBorders>
              <w:bottom w:val="single" w:sz="4" w:space="0" w:color="000000"/>
            </w:tcBorders>
          </w:tcPr>
          <w:p w14:paraId="3246CBE8" w14:textId="77777777" w:rsidR="00837AEE" w:rsidRPr="00837AEE" w:rsidRDefault="00837AEE" w:rsidP="00837AEE">
            <w:pPr>
              <w:pStyle w:val="TableParagraph"/>
              <w:rPr>
                <w:rFonts w:ascii="Times New Roman"/>
                <w:lang w:val="fr-FR"/>
              </w:rPr>
            </w:pPr>
          </w:p>
        </w:tc>
      </w:tr>
      <w:tr w:rsidR="00837AEE" w14:paraId="7D3F2B2C" w14:textId="77777777" w:rsidTr="00837AEE">
        <w:trPr>
          <w:trHeight w:val="662"/>
        </w:trPr>
        <w:tc>
          <w:tcPr>
            <w:tcW w:w="7329" w:type="dxa"/>
            <w:tcBorders>
              <w:bottom w:val="single" w:sz="4" w:space="0" w:color="000000"/>
            </w:tcBorders>
          </w:tcPr>
          <w:p w14:paraId="3D3DAC5E" w14:textId="116436DA" w:rsidR="00837AEE" w:rsidRPr="00837AEE" w:rsidRDefault="00837AEE" w:rsidP="00837AEE">
            <w:pPr>
              <w:pStyle w:val="TableParagraph"/>
              <w:spacing w:before="131"/>
              <w:ind w:left="415"/>
              <w:rPr>
                <w:b/>
                <w:lang w:val="fr-FR"/>
              </w:rPr>
            </w:pPr>
            <w:r w:rsidRPr="00837AEE">
              <w:rPr>
                <w:b/>
                <w:lang w:val="fr-FR"/>
              </w:rPr>
              <w:t xml:space="preserve">9.  </w:t>
            </w:r>
            <w:r w:rsidRPr="00837AEE">
              <w:rPr>
                <w:lang w:val="fr-FR"/>
              </w:rPr>
              <w:t>Le financement de ces startups a fortement augmenté en deux ans.</w:t>
            </w:r>
          </w:p>
        </w:tc>
        <w:tc>
          <w:tcPr>
            <w:tcW w:w="1037" w:type="dxa"/>
            <w:tcBorders>
              <w:bottom w:val="single" w:sz="4" w:space="0" w:color="000000"/>
            </w:tcBorders>
          </w:tcPr>
          <w:p w14:paraId="020A66BF" w14:textId="77777777" w:rsidR="00837AEE" w:rsidRPr="00837AEE" w:rsidRDefault="00837AEE" w:rsidP="00837AEE">
            <w:pPr>
              <w:pStyle w:val="TableParagraph"/>
              <w:rPr>
                <w:rFonts w:ascii="Times New Roman"/>
                <w:lang w:val="fr-FR"/>
              </w:rPr>
            </w:pPr>
          </w:p>
        </w:tc>
        <w:tc>
          <w:tcPr>
            <w:tcW w:w="1160" w:type="dxa"/>
            <w:tcBorders>
              <w:bottom w:val="single" w:sz="4" w:space="0" w:color="000000"/>
            </w:tcBorders>
          </w:tcPr>
          <w:p w14:paraId="641463A2" w14:textId="77777777" w:rsidR="00837AEE" w:rsidRPr="00837AEE" w:rsidRDefault="00837AEE" w:rsidP="00837AEE">
            <w:pPr>
              <w:pStyle w:val="TableParagraph"/>
              <w:rPr>
                <w:rFonts w:ascii="Times New Roman"/>
                <w:lang w:val="fr-FR"/>
              </w:rPr>
            </w:pPr>
          </w:p>
        </w:tc>
      </w:tr>
      <w:tr w:rsidR="00837AEE" w14:paraId="6EC1E7A0" w14:textId="77777777" w:rsidTr="00837AEE">
        <w:trPr>
          <w:trHeight w:val="662"/>
        </w:trPr>
        <w:tc>
          <w:tcPr>
            <w:tcW w:w="7329" w:type="dxa"/>
            <w:tcBorders>
              <w:bottom w:val="single" w:sz="4" w:space="0" w:color="000000"/>
            </w:tcBorders>
          </w:tcPr>
          <w:p w14:paraId="48271127" w14:textId="7D470AB4" w:rsidR="00837AEE" w:rsidRPr="00837AEE" w:rsidRDefault="00837AEE" w:rsidP="00837AEE">
            <w:pPr>
              <w:pStyle w:val="TableParagraph"/>
              <w:spacing w:before="131"/>
              <w:ind w:left="415"/>
              <w:rPr>
                <w:b/>
                <w:lang w:val="fr-FR"/>
              </w:rPr>
            </w:pPr>
            <w:r w:rsidRPr="00837AEE">
              <w:rPr>
                <w:b/>
                <w:lang w:val="fr-FR"/>
              </w:rPr>
              <w:t xml:space="preserve">10. </w:t>
            </w:r>
            <w:r w:rsidRPr="00837AEE">
              <w:rPr>
                <w:lang w:val="fr-FR"/>
              </w:rPr>
              <w:t>Les marchés financiers, partout dans le monde, encouragent ces nouvelles solutions.</w:t>
            </w:r>
          </w:p>
        </w:tc>
        <w:tc>
          <w:tcPr>
            <w:tcW w:w="1037" w:type="dxa"/>
            <w:tcBorders>
              <w:bottom w:val="single" w:sz="4" w:space="0" w:color="000000"/>
            </w:tcBorders>
          </w:tcPr>
          <w:p w14:paraId="1DC9D3EC" w14:textId="77777777" w:rsidR="00837AEE" w:rsidRPr="00837AEE" w:rsidRDefault="00837AEE" w:rsidP="00837AEE">
            <w:pPr>
              <w:pStyle w:val="TableParagraph"/>
              <w:rPr>
                <w:rFonts w:ascii="Times New Roman"/>
                <w:lang w:val="fr-FR"/>
              </w:rPr>
            </w:pPr>
          </w:p>
        </w:tc>
        <w:tc>
          <w:tcPr>
            <w:tcW w:w="1160" w:type="dxa"/>
            <w:tcBorders>
              <w:bottom w:val="single" w:sz="4" w:space="0" w:color="000000"/>
            </w:tcBorders>
          </w:tcPr>
          <w:p w14:paraId="62D3B489" w14:textId="77777777" w:rsidR="00837AEE" w:rsidRPr="00837AEE" w:rsidRDefault="00837AEE" w:rsidP="00837AEE">
            <w:pPr>
              <w:pStyle w:val="TableParagraph"/>
              <w:rPr>
                <w:rFonts w:ascii="Times New Roman"/>
                <w:lang w:val="fr-FR"/>
              </w:rPr>
            </w:pPr>
          </w:p>
        </w:tc>
      </w:tr>
      <w:tr w:rsidR="00837AEE" w:rsidRPr="00837AEE" w14:paraId="69FD8C59" w14:textId="77777777" w:rsidTr="0083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4"/>
        </w:trPr>
        <w:tc>
          <w:tcPr>
            <w:tcW w:w="7329" w:type="dxa"/>
          </w:tcPr>
          <w:p w14:paraId="676517AA" w14:textId="6720AAB8" w:rsidR="00837AEE" w:rsidRPr="00837AEE" w:rsidRDefault="00837AEE" w:rsidP="00837AEE">
            <w:pPr>
              <w:widowControl/>
              <w:autoSpaceDE/>
              <w:autoSpaceDN/>
              <w:rPr>
                <w:lang w:val="fr-FR"/>
              </w:rPr>
            </w:pPr>
          </w:p>
        </w:tc>
        <w:tc>
          <w:tcPr>
            <w:tcW w:w="1037" w:type="dxa"/>
          </w:tcPr>
          <w:p w14:paraId="2C49B3D8" w14:textId="77777777" w:rsidR="00837AEE" w:rsidRPr="00837AEE" w:rsidRDefault="00837AEE" w:rsidP="00837AEE">
            <w:pPr>
              <w:widowControl/>
              <w:autoSpaceDE/>
              <w:autoSpaceDN/>
              <w:rPr>
                <w:lang w:val="fr-FR"/>
              </w:rPr>
            </w:pPr>
          </w:p>
        </w:tc>
        <w:tc>
          <w:tcPr>
            <w:tcW w:w="1160" w:type="dxa"/>
          </w:tcPr>
          <w:p w14:paraId="22852C34" w14:textId="77777777" w:rsidR="00837AEE" w:rsidRPr="00837AEE" w:rsidRDefault="00837AEE" w:rsidP="00837AEE">
            <w:pPr>
              <w:widowControl/>
              <w:autoSpaceDE/>
              <w:autoSpaceDN/>
              <w:rPr>
                <w:lang w:val="fr-FR"/>
              </w:rPr>
            </w:pPr>
          </w:p>
        </w:tc>
      </w:tr>
    </w:tbl>
    <w:p w14:paraId="2091290D" w14:textId="77777777" w:rsidR="00837AEE" w:rsidRDefault="00837AEE"/>
    <w:p w14:paraId="32AF9DA5" w14:textId="163F936B" w:rsidR="008B2322" w:rsidRDefault="008B2322"/>
    <w:p w14:paraId="2007267F" w14:textId="4D5C9992" w:rsidR="008B2322" w:rsidRDefault="008B2322"/>
    <w:p w14:paraId="747C6228" w14:textId="628C1481" w:rsidR="008B2322" w:rsidRDefault="008B2322">
      <w:r w:rsidRPr="008B2322">
        <w:lastRenderedPageBreak/>
        <w:drawing>
          <wp:inline distT="0" distB="0" distL="0" distR="0" wp14:anchorId="6E8EBEA8" wp14:editId="28FB6589">
            <wp:extent cx="5760720" cy="3510915"/>
            <wp:effectExtent l="0" t="0" r="5080" b="0"/>
            <wp:docPr id="1"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Police, ligne&#10;&#10;Description générée automatiquement"/>
                    <pic:cNvPicPr/>
                  </pic:nvPicPr>
                  <pic:blipFill>
                    <a:blip r:embed="rId6"/>
                    <a:stretch>
                      <a:fillRect/>
                    </a:stretch>
                  </pic:blipFill>
                  <pic:spPr>
                    <a:xfrm>
                      <a:off x="0" y="0"/>
                      <a:ext cx="5760720" cy="3510915"/>
                    </a:xfrm>
                    <a:prstGeom prst="rect">
                      <a:avLst/>
                    </a:prstGeom>
                  </pic:spPr>
                </pic:pic>
              </a:graphicData>
            </a:graphic>
          </wp:inline>
        </w:drawing>
      </w:r>
    </w:p>
    <w:p w14:paraId="32FB74CD" w14:textId="317ABF08" w:rsidR="00837AEE" w:rsidRDefault="00837AEE">
      <w:r w:rsidRPr="00837AEE">
        <w:drawing>
          <wp:inline distT="0" distB="0" distL="0" distR="0" wp14:anchorId="4CFF5200" wp14:editId="3AC66537">
            <wp:extent cx="5760720" cy="1863725"/>
            <wp:effectExtent l="0" t="0" r="5080" b="3175"/>
            <wp:docPr id="2" name="Image 2"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apture d’écran, Police, ligne&#10;&#10;Description générée automatiquement"/>
                    <pic:cNvPicPr/>
                  </pic:nvPicPr>
                  <pic:blipFill>
                    <a:blip r:embed="rId7"/>
                    <a:stretch>
                      <a:fillRect/>
                    </a:stretch>
                  </pic:blipFill>
                  <pic:spPr>
                    <a:xfrm>
                      <a:off x="0" y="0"/>
                      <a:ext cx="5760720" cy="1863725"/>
                    </a:xfrm>
                    <a:prstGeom prst="rect">
                      <a:avLst/>
                    </a:prstGeom>
                  </pic:spPr>
                </pic:pic>
              </a:graphicData>
            </a:graphic>
          </wp:inline>
        </w:drawing>
      </w:r>
    </w:p>
    <w:p w14:paraId="37317C01" w14:textId="006F09A9" w:rsidR="0007712E" w:rsidRDefault="0007712E"/>
    <w:p w14:paraId="10AFC676" w14:textId="6875CA0A" w:rsidR="0007712E" w:rsidRDefault="0007712E"/>
    <w:sectPr w:rsidR="0007712E" w:rsidSect="00837AE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97"/>
    <w:multiLevelType w:val="hybridMultilevel"/>
    <w:tmpl w:val="B1C2098C"/>
    <w:lvl w:ilvl="0" w:tplc="BDF27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259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2E"/>
    <w:rsid w:val="0007712E"/>
    <w:rsid w:val="00837AEE"/>
    <w:rsid w:val="008B2322"/>
    <w:rsid w:val="00B44620"/>
    <w:rsid w:val="00E11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0388CE"/>
  <w15:chartTrackingRefBased/>
  <w15:docId w15:val="{363AFF04-DE82-6F4E-958A-666C792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2E"/>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2322"/>
    <w:pPr>
      <w:ind w:left="720"/>
      <w:contextualSpacing/>
    </w:pPr>
  </w:style>
  <w:style w:type="character" w:styleId="Lienhypertexte">
    <w:name w:val="Hyperlink"/>
    <w:basedOn w:val="Policepardfaut"/>
    <w:uiPriority w:val="99"/>
    <w:unhideWhenUsed/>
    <w:rsid w:val="008B2322"/>
    <w:rPr>
      <w:color w:val="0563C1" w:themeColor="hyperlink"/>
      <w:u w:val="single"/>
    </w:rPr>
  </w:style>
  <w:style w:type="character" w:styleId="Mentionnonrsolue">
    <w:name w:val="Unresolved Mention"/>
    <w:basedOn w:val="Policepardfaut"/>
    <w:uiPriority w:val="99"/>
    <w:semiHidden/>
    <w:unhideWhenUsed/>
    <w:rsid w:val="008B2322"/>
    <w:rPr>
      <w:color w:val="605E5C"/>
      <w:shd w:val="clear" w:color="auto" w:fill="E1DFDD"/>
    </w:rPr>
  </w:style>
  <w:style w:type="character" w:styleId="Lienhypertextesuivivisit">
    <w:name w:val="FollowedHyperlink"/>
    <w:basedOn w:val="Policepardfaut"/>
    <w:uiPriority w:val="99"/>
    <w:semiHidden/>
    <w:unhideWhenUsed/>
    <w:rsid w:val="008B2322"/>
    <w:rPr>
      <w:color w:val="954F72" w:themeColor="followedHyperlink"/>
      <w:u w:val="single"/>
    </w:rPr>
  </w:style>
  <w:style w:type="table" w:customStyle="1" w:styleId="TableNormal">
    <w:name w:val="Table Normal"/>
    <w:uiPriority w:val="2"/>
    <w:semiHidden/>
    <w:unhideWhenUsed/>
    <w:qFormat/>
    <w:rsid w:val="00837AE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7AEE"/>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rfi.fr/fr/emission/20180619-surdoues-start-up-africaines-peuvent-ils-aider-inclusion-financie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masson</dc:creator>
  <cp:keywords/>
  <dc:description/>
  <cp:lastModifiedBy>louis masson</cp:lastModifiedBy>
  <cp:revision>1</cp:revision>
  <dcterms:created xsi:type="dcterms:W3CDTF">2023-11-09T08:39:00Z</dcterms:created>
  <dcterms:modified xsi:type="dcterms:W3CDTF">2023-11-09T09:10:00Z</dcterms:modified>
</cp:coreProperties>
</file>