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5634"/>
      </w:tblGrid>
      <w:tr w:rsidR="007E2000" w:rsidRPr="007E2000" w14:paraId="1EDB6850" w14:textId="77777777" w:rsidTr="007E2000">
        <w:tc>
          <w:tcPr>
            <w:tcW w:w="44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855CCA" w14:textId="0579D7E6" w:rsidR="007E2000" w:rsidRPr="007E2000" w:rsidRDefault="007E2000" w:rsidP="007E2000">
            <w:pPr>
              <w:jc w:val="center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4583BA" w14:textId="77777777" w:rsidR="007E2000" w:rsidRPr="007E2000" w:rsidRDefault="007E2000" w:rsidP="007E2000">
            <w:pPr>
              <w:jc w:val="center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u w:val="single"/>
                <w:bdr w:val="none" w:sz="0" w:space="0" w:color="auto" w:frame="1"/>
                <w:lang w:eastAsia="fr-FR"/>
              </w:rPr>
              <w:t>Mot ou locution</w:t>
            </w:r>
          </w:p>
        </w:tc>
      </w:tr>
      <w:tr w:rsidR="007E2000" w:rsidRPr="007E2000" w14:paraId="7160329C" w14:textId="77777777" w:rsidTr="007E2000">
        <w:tc>
          <w:tcPr>
            <w:tcW w:w="44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3D94B6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6F7EE72D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Alternative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779A1D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Ou…</w:t>
            </w:r>
            <w:proofErr w:type="gramStart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ou</w:t>
            </w:r>
            <w:proofErr w:type="gramEnd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 xml:space="preserve"> ; autrement ; sinon ; soit…soit</w:t>
            </w:r>
          </w:p>
        </w:tc>
      </w:tr>
      <w:tr w:rsidR="007E2000" w:rsidRPr="007E2000" w14:paraId="77673346" w14:textId="77777777" w:rsidTr="007E2000">
        <w:tc>
          <w:tcPr>
            <w:tcW w:w="44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82700E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3111736C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But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85C1C4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Pour ; pour cela ; afin que (de</w:t>
            </w:r>
            <w:proofErr w:type="gramStart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);</w:t>
            </w:r>
            <w:proofErr w:type="gramEnd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 xml:space="preserve"> dans le but de ; de manière que ; de crainte que ; de peur que ; de façon que</w:t>
            </w:r>
          </w:p>
        </w:tc>
      </w:tr>
      <w:tr w:rsidR="007E2000" w:rsidRPr="007E2000" w14:paraId="5736733F" w14:textId="77777777" w:rsidTr="007E2000">
        <w:tc>
          <w:tcPr>
            <w:tcW w:w="44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26F1AD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6A124D64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Cause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2FE379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A cause de ; car ; parce que ; attendu que ; comme ; grâce à ; en raison de ; étant donné que ; vu que ; en effet ; du fait que ; puisque ; d’autant plus que, sous prétexte que ; dans la mesure où ; non que</w:t>
            </w:r>
          </w:p>
        </w:tc>
      </w:tr>
      <w:tr w:rsidR="007E2000" w:rsidRPr="007E2000" w14:paraId="433D2775" w14:textId="77777777" w:rsidTr="007E2000">
        <w:tc>
          <w:tcPr>
            <w:tcW w:w="44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EF00D01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3A2FC664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Condition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DABACD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A condition que ; si ; à supposer que ; au cas où ; en cas de ; sans doute ; à moins que ; en admettant que ; dans l’hypothèse où ; pourvu que ; suivant que ; pour peu que ; quand bien même ; si ce n’est ; probablement</w:t>
            </w:r>
          </w:p>
        </w:tc>
      </w:tr>
    </w:tbl>
    <w:p w14:paraId="1C1F9D4E" w14:textId="77777777" w:rsidR="007E2000" w:rsidRPr="007E2000" w:rsidRDefault="007E2000" w:rsidP="007E2000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5634"/>
      </w:tblGrid>
      <w:tr w:rsidR="007E2000" w:rsidRPr="007E2000" w14:paraId="62C84D23" w14:textId="77777777" w:rsidTr="007E2000">
        <w:tc>
          <w:tcPr>
            <w:tcW w:w="44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E27F19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233299AE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Conséquence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3E7982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En conséquence ; par conséquent ; ainsi ; donc ; or ; c’est pourquoi ; dès lors ; de là ; aussi ; si bien que ; assez pour que ; trop pour que ; à tel point que ; tant …que ; si… que ; tellement que ; de sorte que ; de manière à ; de façon à</w:t>
            </w:r>
          </w:p>
        </w:tc>
      </w:tr>
      <w:tr w:rsidR="007E2000" w:rsidRPr="007E2000" w14:paraId="4E081BB4" w14:textId="77777777" w:rsidTr="007E2000">
        <w:tc>
          <w:tcPr>
            <w:tcW w:w="44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441A8C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04BB36BE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Concession ou restriction</w:t>
            </w:r>
          </w:p>
        </w:tc>
        <w:tc>
          <w:tcPr>
            <w:tcW w:w="44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2FCE3F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Excepté ; mais ; pourtant ; malgré ; cependant ; néanmoins ; toutefois ; même ; quoique ; du reste ; sauf ; hormis ; le cas échéant ; exception faite de ; mis à part ; bien que ; en dépit de</w:t>
            </w:r>
          </w:p>
        </w:tc>
      </w:tr>
    </w:tbl>
    <w:p w14:paraId="281BB9E9" w14:textId="77777777" w:rsidR="007E2000" w:rsidRPr="007E2000" w:rsidRDefault="007E2000" w:rsidP="007E2000">
      <w:pPr>
        <w:shd w:val="clear" w:color="auto" w:fill="FFFFFF"/>
        <w:textAlignment w:val="baseline"/>
        <w:rPr>
          <w:rFonts w:ascii="Open Sans" w:eastAsia="Times New Roman" w:hAnsi="Open Sans" w:cs="Open Sans"/>
          <w:color w:val="7A7A7A"/>
          <w:lang w:eastAsia="fr-FR"/>
        </w:rPr>
      </w:pPr>
      <w:r w:rsidRPr="007E2000">
        <w:rPr>
          <w:rFonts w:ascii="Poppins" w:eastAsia="Times New Roman" w:hAnsi="Poppins" w:cs="Poppins"/>
          <w:b/>
          <w:bCs/>
          <w:color w:val="7A7A7A"/>
          <w:u w:val="single"/>
          <w:bdr w:val="none" w:sz="0" w:space="0" w:color="auto" w:frame="1"/>
          <w:lang w:eastAsia="fr-FR"/>
        </w:rPr>
        <w:t>TABLEAU 2</w:t>
      </w:r>
    </w:p>
    <w:p w14:paraId="4AB7DA3D" w14:textId="77777777" w:rsidR="007E2000" w:rsidRPr="007E2000" w:rsidRDefault="007E2000" w:rsidP="007E2000">
      <w:pPr>
        <w:shd w:val="clear" w:color="auto" w:fill="FFFFFF"/>
        <w:textAlignment w:val="baseline"/>
        <w:rPr>
          <w:rFonts w:ascii="Open Sans" w:eastAsia="Times New Roman" w:hAnsi="Open Sans" w:cs="Open Sans"/>
          <w:color w:val="7A7A7A"/>
          <w:lang w:eastAsia="fr-FR"/>
        </w:rPr>
      </w:pPr>
      <w:r w:rsidRPr="007E2000">
        <w:rPr>
          <w:rFonts w:ascii="inherit" w:eastAsia="Times New Roman" w:hAnsi="inherit" w:cs="Open Sans"/>
          <w:b/>
          <w:bCs/>
          <w:color w:val="7A7A7A"/>
          <w:bdr w:val="none" w:sz="0" w:space="0" w:color="auto" w:frame="1"/>
          <w:lang w:eastAsia="fr-FR"/>
        </w:rPr>
        <w:t> 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5710"/>
      </w:tblGrid>
      <w:tr w:rsidR="007E2000" w:rsidRPr="007E2000" w14:paraId="449A00D1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3C31A7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42497ED4" w14:textId="77777777" w:rsidR="007E2000" w:rsidRPr="007E2000" w:rsidRDefault="007E2000" w:rsidP="007E2000">
            <w:pPr>
              <w:jc w:val="center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Poppins" w:eastAsia="Times New Roman" w:hAnsi="Poppins" w:cs="Poppins"/>
                <w:b/>
                <w:bCs/>
                <w:color w:val="7A7A7A"/>
                <w:u w:val="single"/>
                <w:bdr w:val="none" w:sz="0" w:space="0" w:color="auto" w:frame="1"/>
                <w:lang w:eastAsia="fr-FR"/>
              </w:rPr>
              <w:t>Relation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8935679" w14:textId="77777777" w:rsidR="007E2000" w:rsidRPr="007E2000" w:rsidRDefault="007E2000" w:rsidP="007E2000">
            <w:pPr>
              <w:jc w:val="center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6769100F" w14:textId="77777777" w:rsidR="007E2000" w:rsidRPr="007E2000" w:rsidRDefault="007E2000" w:rsidP="007E2000">
            <w:pPr>
              <w:jc w:val="center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Poppins" w:eastAsia="Times New Roman" w:hAnsi="Poppins" w:cs="Poppins"/>
                <w:b/>
                <w:bCs/>
                <w:color w:val="7A7A7A"/>
                <w:u w:val="single"/>
                <w:bdr w:val="none" w:sz="0" w:space="0" w:color="auto" w:frame="1"/>
                <w:lang w:eastAsia="fr-FR"/>
              </w:rPr>
              <w:t>Mot ou locution</w:t>
            </w:r>
          </w:p>
        </w:tc>
      </w:tr>
      <w:tr w:rsidR="007E2000" w:rsidRPr="007E2000" w14:paraId="0EE55723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1E24F2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167C3BA5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Introduire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08F9B7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Au préalable ; tout d’abord ; en premier lieu ; pour commencer ; premièrement ;</w:t>
            </w:r>
          </w:p>
          <w:p w14:paraId="6E60B3F9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proofErr w:type="gramStart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avant</w:t>
            </w:r>
            <w:proofErr w:type="gramEnd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 xml:space="preserve"> tout</w:t>
            </w:r>
          </w:p>
        </w:tc>
      </w:tr>
      <w:tr w:rsidR="007E2000" w:rsidRPr="007E2000" w14:paraId="50ADA6AB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4CA0FA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lastRenderedPageBreak/>
              <w:t> </w:t>
            </w:r>
          </w:p>
          <w:p w14:paraId="09C84056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Classer Ajouter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58C87B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D’une part…d’autre part ; puis ; ensuite ; non seulement…mais encore ;</w:t>
            </w:r>
          </w:p>
          <w:p w14:paraId="030FFB17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proofErr w:type="gramStart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premièrement</w:t>
            </w:r>
            <w:proofErr w:type="gramEnd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…deuxièmement</w:t>
            </w:r>
          </w:p>
          <w:p w14:paraId="1720641F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Et ; également ; en outre ; de plus ; en plus de ; de surcroît ; mais encore ; par ailleurs ; voire ; au surplus ; ajoutons ; avec ; quant à ; sans compter que ; dans un autre ordre d’idées, sans parler de ; venons-en à</w:t>
            </w:r>
          </w:p>
        </w:tc>
      </w:tr>
      <w:tr w:rsidR="007E2000" w:rsidRPr="007E2000" w14:paraId="685E695B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DFE1D0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17E6AD6D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Annoncer un résumé de ce qui précède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97DF4E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Bref ; en résumé ; en un mot ; en d’autres termes ; somme toute ; pour ces raisons ; cela revient à dire que ; en substance</w:t>
            </w:r>
          </w:p>
        </w:tc>
      </w:tr>
      <w:tr w:rsidR="007E2000" w:rsidRPr="007E2000" w14:paraId="7420890E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FCC6D7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6464E678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Affirmer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EA648F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Bien sûr ; sans aucun doute ; évidemment ; certes ; effectivement ; à mon avis ; pour ma part ; selon moi ; à titre personnel ; quant à moi</w:t>
            </w:r>
          </w:p>
        </w:tc>
      </w:tr>
      <w:tr w:rsidR="007E2000" w:rsidRPr="007E2000" w14:paraId="62CF725C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36C663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136597D0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Insister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7DC3DB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Remarquons ; mettons l’accent sur ; en particulier ; à plus forte raison ; surtout ; d’autant plus que</w:t>
            </w:r>
          </w:p>
        </w:tc>
      </w:tr>
    </w:tbl>
    <w:p w14:paraId="4B633067" w14:textId="77777777" w:rsidR="007E2000" w:rsidRPr="007E2000" w:rsidRDefault="007E2000" w:rsidP="007E2000">
      <w:pPr>
        <w:rPr>
          <w:rFonts w:ascii="Times New Roman" w:eastAsia="Times New Roman" w:hAnsi="Times New Roman" w:cs="Times New Roman"/>
          <w:vanish/>
          <w:lang w:eastAsia="fr-FR"/>
        </w:rPr>
      </w:pP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5710"/>
      </w:tblGrid>
      <w:tr w:rsidR="007E2000" w:rsidRPr="007E2000" w14:paraId="3D12A775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44B85C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62616C33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Expliquer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80C501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C’est-à-dire ; en d’autres termes ; sur ce point ; à ce sujet ; pour ce qui est de ; sur le plan de ; en ce qui concerne ; en matière de ; en tant que ; relatif à ; en effet</w:t>
            </w:r>
          </w:p>
        </w:tc>
      </w:tr>
      <w:tr w:rsidR="007E2000" w:rsidRPr="007E2000" w14:paraId="4602A2BE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AF0328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4818CC3B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Comparer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5FBDD6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Comme ; de même que ; également ; à la façon de ; à l’image de ; conformément à ; de même que ; contrairement à ; ainsi que ; autant…autant ; au même degré que ; aussi…que ; tel…que ; plutôt…que ; plus…que ; moins…que</w:t>
            </w:r>
          </w:p>
        </w:tc>
      </w:tr>
      <w:tr w:rsidR="007E2000" w:rsidRPr="007E2000" w14:paraId="0C1C4FD4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2A315B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63B46432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Illustrer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74C0FC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C’est le cas de ; comme ; ainsi ; à savoir ; par exemple ; notamment ; entre autres ; c’est ainsi que</w:t>
            </w:r>
          </w:p>
        </w:tc>
      </w:tr>
      <w:tr w:rsidR="007E2000" w:rsidRPr="007E2000" w14:paraId="63371BCF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2F280C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lastRenderedPageBreak/>
              <w:t> </w:t>
            </w:r>
          </w:p>
          <w:p w14:paraId="6D201864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Opposer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54B1D6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 xml:space="preserve">Mais ; en revanche ; or ; toutefois ; au contraire ; alors que ; quoique ; en dépit de ; cependant ; </w:t>
            </w:r>
            <w:proofErr w:type="gramStart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par contre</w:t>
            </w:r>
            <w:proofErr w:type="gramEnd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 xml:space="preserve"> ; pourtant</w:t>
            </w:r>
          </w:p>
        </w:tc>
      </w:tr>
      <w:tr w:rsidR="007E2000" w:rsidRPr="007E2000" w14:paraId="7A7B6214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32AF77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37823BDA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Exprimer une notion de temps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3EE8F3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 xml:space="preserve">Après ; alors </w:t>
            </w:r>
            <w:proofErr w:type="gramStart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que;</w:t>
            </w:r>
            <w:proofErr w:type="gramEnd"/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 xml:space="preserve"> plus tard ; antérieurement ; par la suite ; bientôt ; ensuite ; avant cela ; maintenant ; désormais ; au moment où ; chaque fois que ; dès que ; jusqu’à ce que ; lorsque ; tandis que</w:t>
            </w:r>
          </w:p>
        </w:tc>
      </w:tr>
      <w:tr w:rsidR="007E2000" w:rsidRPr="007E2000" w14:paraId="1F203914" w14:textId="77777777" w:rsidTr="007E2000">
        <w:tc>
          <w:tcPr>
            <w:tcW w:w="43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6E951F" w14:textId="77777777" w:rsidR="007E2000" w:rsidRPr="007E2000" w:rsidRDefault="007E2000" w:rsidP="007E2000">
            <w:pPr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inherit" w:eastAsia="Times New Roman" w:hAnsi="inherit" w:cs="Open Sans"/>
                <w:b/>
                <w:bCs/>
                <w:color w:val="7A7A7A"/>
                <w:bdr w:val="none" w:sz="0" w:space="0" w:color="auto" w:frame="1"/>
                <w:lang w:eastAsia="fr-FR"/>
              </w:rPr>
              <w:t> </w:t>
            </w:r>
          </w:p>
          <w:p w14:paraId="2F5BA9D8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Conclure</w:t>
            </w:r>
          </w:p>
        </w:tc>
        <w:tc>
          <w:tcPr>
            <w:tcW w:w="45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8F864D" w14:textId="77777777" w:rsidR="007E2000" w:rsidRPr="007E2000" w:rsidRDefault="007E2000" w:rsidP="007E2000">
            <w:pPr>
              <w:spacing w:after="225"/>
              <w:textAlignment w:val="baseline"/>
              <w:rPr>
                <w:rFonts w:ascii="Open Sans" w:eastAsia="Times New Roman" w:hAnsi="Open Sans" w:cs="Open Sans"/>
                <w:color w:val="7A7A7A"/>
                <w:lang w:eastAsia="fr-FR"/>
              </w:rPr>
            </w:pPr>
            <w:r w:rsidRPr="007E2000">
              <w:rPr>
                <w:rFonts w:ascii="Open Sans" w:eastAsia="Times New Roman" w:hAnsi="Open Sans" w:cs="Open Sans"/>
                <w:color w:val="7A7A7A"/>
                <w:lang w:eastAsia="fr-FR"/>
              </w:rPr>
              <w:t>En somme ; en conclusion ; somme toute, finalement ; en définitive ; au total ; en dernier lieu ; au fond ; en bref ; tout bien considéré ; pour conclure</w:t>
            </w:r>
          </w:p>
        </w:tc>
      </w:tr>
    </w:tbl>
    <w:p w14:paraId="5B1721B1" w14:textId="77777777" w:rsidR="00125EB3" w:rsidRDefault="00000000"/>
    <w:sectPr w:rsidR="00125EB3" w:rsidSect="007E2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194F" w14:textId="77777777" w:rsidR="00F42459" w:rsidRDefault="00F42459" w:rsidP="007E2000">
      <w:r>
        <w:separator/>
      </w:r>
    </w:p>
  </w:endnote>
  <w:endnote w:type="continuationSeparator" w:id="0">
    <w:p w14:paraId="7400017D" w14:textId="77777777" w:rsidR="00F42459" w:rsidRDefault="00F42459" w:rsidP="007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483" w14:textId="77777777" w:rsidR="007E2000" w:rsidRDefault="007E2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D7E5" w14:textId="77777777" w:rsidR="007E2000" w:rsidRDefault="007E2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44AC" w14:textId="77777777" w:rsidR="007E2000" w:rsidRDefault="007E2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47E5" w14:textId="77777777" w:rsidR="00F42459" w:rsidRDefault="00F42459" w:rsidP="007E2000">
      <w:r>
        <w:separator/>
      </w:r>
    </w:p>
  </w:footnote>
  <w:footnote w:type="continuationSeparator" w:id="0">
    <w:p w14:paraId="4DF338F8" w14:textId="77777777" w:rsidR="00F42459" w:rsidRDefault="00F42459" w:rsidP="007E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92360283"/>
      <w:docPartObj>
        <w:docPartGallery w:val="Page Numbers (Top of Page)"/>
        <w:docPartUnique/>
      </w:docPartObj>
    </w:sdtPr>
    <w:sdtContent>
      <w:p w14:paraId="17368348" w14:textId="25BC5125" w:rsidR="00A149F8" w:rsidRDefault="00A149F8" w:rsidP="009A2E4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694DC7" w14:textId="77777777" w:rsidR="007E2000" w:rsidRDefault="007E2000" w:rsidP="00A149F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46538519"/>
      <w:docPartObj>
        <w:docPartGallery w:val="Page Numbers (Top of Page)"/>
        <w:docPartUnique/>
      </w:docPartObj>
    </w:sdtPr>
    <w:sdtContent>
      <w:p w14:paraId="0A5346FB" w14:textId="01C661A6" w:rsidR="00A149F8" w:rsidRDefault="00A149F8" w:rsidP="009A2E4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7F8D25" w14:textId="040B1319" w:rsidR="007E2000" w:rsidRPr="007E2000" w:rsidRDefault="007E2000" w:rsidP="00A149F8">
    <w:pPr>
      <w:pStyle w:val="En-tte"/>
      <w:ind w:right="360"/>
      <w:jc w:val="center"/>
      <w:rPr>
        <w:b/>
        <w:bCs/>
        <w:sz w:val="28"/>
        <w:szCs w:val="28"/>
      </w:rPr>
    </w:pPr>
    <w:r w:rsidRPr="007E2000">
      <w:rPr>
        <w:b/>
        <w:bCs/>
        <w:sz w:val="28"/>
        <w:szCs w:val="28"/>
      </w:rPr>
      <w:t xml:space="preserve">LES CONNECTEURS LOGIQUES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28E4" w14:textId="77777777" w:rsidR="007E2000" w:rsidRDefault="007E2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00"/>
    <w:rsid w:val="007E2000"/>
    <w:rsid w:val="00A149F8"/>
    <w:rsid w:val="00B44620"/>
    <w:rsid w:val="00E11072"/>
    <w:rsid w:val="00F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DB103"/>
  <w15:chartTrackingRefBased/>
  <w15:docId w15:val="{25D1AB0E-7A8A-334B-8BC5-CC07AA43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0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7E200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20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000"/>
  </w:style>
  <w:style w:type="paragraph" w:styleId="Pieddepage">
    <w:name w:val="footer"/>
    <w:basedOn w:val="Normal"/>
    <w:link w:val="PieddepageCar"/>
    <w:uiPriority w:val="99"/>
    <w:unhideWhenUsed/>
    <w:rsid w:val="007E2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000"/>
  </w:style>
  <w:style w:type="character" w:styleId="Numrodepage">
    <w:name w:val="page number"/>
    <w:basedOn w:val="Policepardfaut"/>
    <w:uiPriority w:val="99"/>
    <w:semiHidden/>
    <w:unhideWhenUsed/>
    <w:rsid w:val="00A1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2</cp:revision>
  <dcterms:created xsi:type="dcterms:W3CDTF">2023-11-26T10:51:00Z</dcterms:created>
  <dcterms:modified xsi:type="dcterms:W3CDTF">2023-11-26T10:53:00Z</dcterms:modified>
</cp:coreProperties>
</file>